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tblGrid>
      <w:tr>
        <w:tblPrEx>
          <w:tblCellMar>
            <w:top w:w="0" w:type="dxa"/>
            <w:left w:w="10" w:type="dxa"/>
            <w:bottom w:w="0" w:type="dxa"/>
            <w:right w:w="10" w:type="dxa"/>
          </w:tblCellMar>
        </w:tblPrEx>
        <w:trPr>
          <w:gridAfter w:val="4"/>
          <w:trHeight w:val="0" w:hRule="atLeast"/>
        </w:trPr>
        <w:tc>
          <w:p>
            <w:pPr>
              <w:pStyle w:val="4"/>
              <w:rPr>
                <w:rFonts w:hint="eastAsia" w:ascii="微软雅黑" w:hAnsi="微软雅黑" w:eastAsia="微软雅黑" w:cs="微软雅黑"/>
              </w:rPr>
            </w:pPr>
            <w:bookmarkStart w:id="7" w:name="_GoBack"/>
            <w:bookmarkStart w:id="0" w:name="JR_PAGE_ANCHOR_0_1"/>
            <w:bookmarkEnd w:id="0"/>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兴银理财丰利兴动多策略全球配置封闭式6号增强型固收类理财产品2025年第三季度报告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96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30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兴银理财丰利兴动多策略全球配置封闭式6号增强型固收类理财产品</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报告送出日期：2025年10月28日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7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兴银理财丰利兴动多策略全球配置封闭式6号增强型固收类理财产品2025年第三季度报告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7. 投资账户信息</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08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0" w:hRule="atLeast"/>
        </w:trPr>
        <w:tc>
          <w:p>
            <w:pPr>
              <w:pStyle w:val="4"/>
              <w:pageBreakBefore/>
              <w:rPr>
                <w:rFonts w:hint="eastAsia" w:ascii="微软雅黑" w:hAnsi="微软雅黑" w:eastAsia="微软雅黑" w:cs="微软雅黑"/>
              </w:rPr>
            </w:pPr>
            <w:bookmarkStart w:id="2" w:name="JR_PAGE_ANCHOR_0_3"/>
            <w:bookmarkEnd w:id="2"/>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兴银理财丰利兴动多策略全球配置封闭式6号增强型固收类理财产品2025年第三季度报告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3080" w:hRule="atLeast"/>
        </w:trPr>
        <w:tc>
          <w:p>
            <w:pPr>
              <w:pStyle w:val="4"/>
              <w:rPr>
                <w:rFonts w:hint="eastAsia" w:ascii="微软雅黑" w:hAnsi="微软雅黑" w:eastAsia="微软雅黑" w:cs="微软雅黑"/>
              </w:rPr>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兴银理财丰利兴动多策略全球配置封闭式6号增强型固收类理财产品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9K728160</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Z7002024000926</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封闭式</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395,801,629份</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人民币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R2</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1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丰利兴动-钱潮3年6A（泰隆专属）</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9K72816A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238,601,629.00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丰利兴动-钱潮3年6C（泰隆专属）</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9K72816C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157,200,000.00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16"/>
              </w:rPr>
              <w:t>注:本产品的业绩比较基准或业绩报酬计提基准等类似表述不是预期收益率，不代表产品的未来表现和实际收益，不构成对产品收益的承诺，仅供投资者进行投资决定时参考。</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57"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3" w:name="JR_PAGE_ANCHOR_0_4"/>
            <w:bookmarkEnd w:id="3"/>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兴银理财丰利兴动多策略全球配置封闭式6号增强型固收类理财产品2025年第三季度报告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8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100"/>
              <w:gridCol w:w="2200"/>
              <w:gridCol w:w="2200"/>
              <w:gridCol w:w="22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近1月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近3月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近6月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9K72816A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13.81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12.39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3.87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3.74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9K72816C</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13.81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12.39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3.87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3.74</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业绩比较基准（9K72816A）：年化【0.4%-7%】，详见产品说明书</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业绩比较基准（9K72816C）：年化【0.4%-7%】，详见产品说明书</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2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（2）兴银理财丰利兴动多策略全球配置封闭式6号增强型固收类理财产品成立于2024年08月06日，数据截止至2025年09月30日。过往业绩是由兴银理财有限责任公司计算并确认后所提供的数据。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报告期末，产品净值表现具体如下：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9K728160</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1.04316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1.04316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412,886,021.64</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8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9K72816A</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1.04316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1.04316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248,900,636.51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9K72816C</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1.04316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1.04316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163,985,385.13</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张雅婕女士，上海财经大学硕士，注册会计师，金融从业超过10年。现就职兴银理财有限责任公司任多资产投资部投资经理，历任华登国际投资经理、兴业银行资产管理部权益投资部投资经理。</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63"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4" w:name="JR_PAGE_ANCHOR_0_5"/>
            <w:bookmarkEnd w:id="4"/>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兴银理财丰利兴动多策略全球配置封闭式6号增强型固收类理财产品2025年第三季度报告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本产品投资于挂钩钱潮指数，钱潮指数编制规则通过风险平价和动量策略优选配置全球资产。虽然钱潮指数受4月初美国关税政策冲击，在二季度表现较弱，三季度有所上涨，特别是美国9月降息释放全球流动性，有利于大类资产的上涨。后续该指数将继续按照原定策略每月定期调仓，择优配置全球股债商的优质资产，为客户创造较好的收益。固收部分仍采取继续坚持稳健生息策略，继续严控利率和信用敞口，保持固收部分收益稳定。</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0.78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金融衍生品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7.27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7.27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91.68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委外投资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91.95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0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报告期末本产品总资产未超过该产品净资产规模的200%，符合产品协议对本产品杠杆比例的要求。</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流动性风险是指产品在履行与金融负债有关的义务时遇到资金短缺的风险。本产品的流动性风险主要来自于若投资品种所处的交易市场不活跃，可能带来资产变现困难或产品持仓资产在市场出现剧烈波动的情况下难以以合理价格变现的风险。 为防范无法支付到期赎回款而产生的流动性风险，本理财产品管理人将合理安排所投资产期限，产品到期前完成所投资组合中相关资产变现，尽可能降低产品流动性风险，有效保障理财持有人利益。 报告期内，本理财产品管理人严格遵守相关法律法规以及产品销售协议，对理财产品组合资产的流动性风险进行管理，报告期内未发生流动性风险。</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6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买入期权-公允价值变动:OPTION20240807001047289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30,087,357.29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7.29</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6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5" w:name="JR_PAGE_ANCHOR_0_6"/>
            <w:bookmarkEnd w:id="5"/>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兴银理财丰利兴动多策略全球配置封闭式6号增强型固收类理财产品2025年第三季度报告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24华夏银行永续债02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24,681,861.37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5.98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24平安银行永续债01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21,342,640.16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5.17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23浙商银行二级资本债01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20,504,743.95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4.97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23宁波银行永续债01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20,409,415.49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4.94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22上海银行二级资本债01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20,289,342.27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4.91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24广发银行永续债02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20,005,179.95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4.85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23成都农商行永续债01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19,220,370.19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4.66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21北京银行永续债01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18,114,469.47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4.39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22南京银行永续债01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17,932,953.19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4.34</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atLeas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86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兴银理财丰利兴动多策略全球配置封闭式6号增强型固收类理财产品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3.0532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兴瀚资管-兴添翼55号集合资产管理计划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18.6156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上海兴瀚资产管理有限公司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6" w:name="JR_PAGE_ANCHOR_0_7"/>
            <w:bookmarkEnd w:id="6"/>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兴银理财丰利兴动多策略全球配置封闭式6号增强型固收类理财产品2025年第三季度报告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051010100101973184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兴银理财丰利兴动多策略全球配置封闭式6号增强型固收类理财产品</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2025年10月28日</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1075"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bookmarkEnd w:id="7"/>
    <w:sectPr>
      <w:pgSz w:w="11900" w:h="16840"/>
      <w:pgMar w:top="600" w:right="56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efaultTabStop w:val="800"/>
  <w:compat>
    <w:useFELayout/>
    <w:splitPgBreakAndParaMark/>
    <w:compatSetting w:name="compatibilityMode" w:uri="http://schemas.microsoft.com/office/word" w:val="12"/>
  </w:compat>
  <w:rsids>
    <w:rsidRoot w:val="00000000"/>
    <w:rsid w:val="76521655"/>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sz w:val="21"/>
      <w:szCs w:val="22"/>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2025-10-20T13:26:24Z</dcterms:created>
  <cp:lastModifiedBy>liuke2</cp:lastModifiedBy>
  <dcterms:modified xsi:type="dcterms:W3CDTF">2025-10-20T13:26:25Z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