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兴银理财丰利兴动多策略全球配置-钱潮封闭式27号增强型固收类理财产品2025年第三季度报告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兴银理财丰利兴动多策略全球配置-钱潮封闭式27号增强型固收类理财产品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兴银理财丰利兴动多策略全球配置-钱潮封闭式27号增强型固收类理财产品2025年第三季度报告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兴银理财丰利兴动多策略全球配置-钱潮封闭式27号增强型固收类理财产品2025年第三季度报告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兴银理财丰利兴动多策略全球配置-钱潮封闭式27号增强型固收类理财产品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9K718270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Z7002025000495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66,967,875份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丰利兴动-钱潮3年27A（泰隆专属）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9K71827A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66,967,875.00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兴银理财丰利兴动多策略全球配置-钱潮封闭式27号增强型固收类理财产品2025年第三季度报告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9K71827A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业绩比较基准（9K71827A）：年化【0.01%-6.8%】，详见产品说明书</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（2）兴银理财丰利兴动多策略全球配置-钱潮封闭式27号增强型固收类理财产品成立于2025年06月24日，数据截止至2025年09月30日。过往业绩是由兴银理财有限责任公司计算并确认后所提供的数据。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9K718270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68,543,668.84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9K71827A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68,543,668.84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4"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张雅婕女士，上海财经大学硕士，注册会计师，金融从业超过10年。现就职兴银理财有限责任公司任多资产投资部投资经理，历任华登国际投资经理、兴业银行资产管理部权益投资部投资经理。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投资于挂钩钱潮指数，钱潮指数编制规则通过风险平价和动量策略优选配置全球资产。虽然钱潮指数受4月初美国关税政策冲击，在二季度表现较弱，三季度有所上涨，特别是美国9月降息释放全球流动性，有利于大类</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兴银理财丰利兴动多策略全球配置-钱潮封闭式27号增强型固收类理财产品2025年第三季度报告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资</w:t>
            </w:r>
            <w:bookmarkStart w:id="7" w:name="_GoBack"/>
            <w:bookmarkEnd w:id="7"/>
            <w:r>
              <w:rPr>
                <w:rFonts w:hint="eastAsia" w:ascii="微软雅黑" w:hAnsi="微软雅黑" w:eastAsia="微软雅黑" w:cs="微软雅黑"/>
                <w:color w:val="000000"/>
                <w:sz w:val="21"/>
              </w:rPr>
              <w:t>产的上涨。后续该指数将继续按照原定策略每月定期调仓，择优配置全球股债商的优质资产，为客户创造较好的收益。固收部分仍采取继续坚持稳健生息策略，继续严控利率和信用敞口，保持固收部分收益稳定。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兴银理财丰利兴动多策略全球配置-钱潮封闭式27号增强型固收类理财产品2025年第三季度报告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买入期权-公允价值变动:OPTION20250626001466908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6,011,008.75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24招行永续债01BC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5,121,112.26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5,108,107.19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24农行永续债03BC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5,085,995.48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24华夏银行永续债01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5,062,227.47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24杭州银行永续债01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5,049,064.11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24广发银行永续债01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5,044,854.52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24江苏银行永续债02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4,997,128.84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24北京农商行永续债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4,990,602.81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24上海银行二级资本债01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4,989,949.11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兴银理财丰利兴动多策略全球配置-钱潮封闭式27号增强型固收类理财产品2025年第三季度报告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25东莞银行永续债01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24上海银行二级资本债01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24北京农商行永续债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兴银理财丰利兴动多策略全球配置-钱潮封闭式27号增强型固收类理财产品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051010100102209708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兴银理财丰利兴动多策略全球配置-钱潮封闭式27号增强型固收类理财产品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13287A75"/>
    <w:rsid w:val="278A6635"/>
    <w:rsid w:val="38A5288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2025-10-20T13:26:00Z</dcterms:created>
  <dc:creator>liuke2</dc:creator>
  <cp:lastModifiedBy>liuke2</cp:lastModifiedBy>
  <dcterms:modified xsi:type="dcterms:W3CDTF">2025-10-21T11:27:22Z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