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兴银理财丰利逸动9个月最短持有期日开02号增强型固收类理财产品2025年第三季度报告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兴银理财丰利逸动9个月最短持有期日开02号增强型固收类理财产品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兴银理财丰利逸动9个月最短持有期日开02号增强型固收类理财产品2025年第三季度报告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兴银理财丰利逸动9个月最短持有期日开02号增强型固收类理财产品2025年第三季度报告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兴银理财丰利逸动9个月最短持有期日开02号增强型固收类理财产品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9K709020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Z7002025000056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98,204,941.26份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丰利逸动9M持有2A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9K70902A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11,457,640.36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丰利逸动9M持有2B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9K70902B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53,631,114.13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丰利逸动9M持有2C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9K70902C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33,116,186.77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兴银理财丰利逸动9个月最短持有期日开02号增强型固收类理财产品2025年第三季度报告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6"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9K70902A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9K70902B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9K70902C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业绩比较基准（9K70902A）：中债-新综合财富（1年以下）指数收益率×92.5%+万得偏股混合型基金指数收益率×2.5%+人民银行活期存款利率×5%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业绩比较基准（9K70902B）：中债-新综合财富（1年以下）指数收益率×92.5%+万得偏股混合型基金指数收益率×2.5%+人民银行活期存款利率×5%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业绩比较基准（9K70902C）：中债-新综合财富（1年以下）指数收益率×92.5%+万得偏股混合型基金指数收益率×2.5%+人民银行活期存款利率×5%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（2）兴银理财丰利逸动9个月最短持有期日开02号增强型固收类理财产品成立于2025年06月05日，数据截止至2025年09月30日。过往业绩是由兴银理财有限责任公司计算并确认后所提供的数据。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bookmarkStart w:id="8" w:name="_GoBack"/>
            <w:bookmarkEnd w:id="8"/>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9K709020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100,232,507.27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9K70902A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11,692,952.63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9K70902B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54,734,604.88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兴银理财丰利逸动9个月最短持有期日开02号增强型固收类理财产品2025年第三季度报告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9K70902C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33,804,949.76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朱轶伦先生，英国格拉斯哥大学国际金融专业硕士研究生毕业，上海财经大学计算机科学与技术本科,具有基金从业资格。曾在长信基金担任量化投资部研究员、量化专户投资部投资经理和长信先优债券型证券投资基金、长信利泰灵活配置混合型证券投资基金、长信先锐债券型证券投资基金、长信利发债券型证券投资基金、长信睿进灵活配置混合型证券投资基金、长信颐天平衡养老目标三年持有期混合型基金中基金(FOF)和长信稳进资产配置混合型基金中基金(FOF)的基金经理，在大类资产配置、债券和FOF等方面投资具有丰富的投资经验，风格较为均衡。</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总体来看，2025年前三季度，债市收益率呈现“N”形走势。年初央行为稳汇率暂停国债买卖并缩减公开市场投放，资金面收紧导致债市收益率整体上行，债市进入震荡下跌通道。3月两会后，潘行长关于货币政策的表述推动市场修正预期，10年期国债收益率进一步升至1.90%高位。3月下旬资金面转松，叠加二季度中美关税拉锯，10年期国债收益率下行至1.63%-1.67%区间震荡。5月央行降准降息兑现、关税谈判取得阶段性成果，债市收益率小幅上行；6月央行逆回购操作改善资金面，债市收益率波动下行。三季度“反内卷”政策推升通胀预期，权益走强压制债市，叠加基金费率新规与债基赎回，债市收益率整体上行；但在央行呵护资金面背景下，短端收益率较为平稳，债市呈现“熊陡”格局。权益方面，体现出结构性行情，机器人、国外和国内算力板块、固态电池以及有色金属等板块交替表现，红利板块持续回落，展望四季度，时间点上关注两点：1、首先是川普说的在11月1号加征100%关税的时间点之前，10月31号到11月1号这个时间点，因为APEC峰会即将在月底在韩国举行，2、第二个关注的时间点是12月1号，这个是中国出稀土出口管制生效的时间点。因此会有1-2个月时间，留给双方谈判。黄金虽然已经涨的比较多了，但在大的宏观趋势没有大的改变的情况下，叠加过往黄金牛市的经验，可能还会持续较长一段时间。产品策略权益部分仍然以稳健组合为主，叠加一些行业的交易机会，债券部分主要是票息策略为主，交易策略辅助，力争在回撤可控的情况下，提高组合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兴银理财丰利逸动9个月最短持有期日开02号增强型固收类理财产品2025年第三季度报告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广发集瑞债券型证券投资基金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4,078,743.21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3,992,558.40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3,417,120.95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华安易富黄金交易型开放式证券投资基金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1,395,948.60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1,366,848.38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兴银理财丰利逸动9个月最短持有期日开02号增强型固收类理财产品2025年第三季度报告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1,140,730.97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1,108,720.37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鹏扬中债-30年期国债交易型开放式指数证券投资基金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1,034,898.69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上证10年期地方政府债交易型开放式指数证券投资基金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1,022,953.49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富国中债7-10年政策性金融债交易型开放式指数证券投资基金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980,393.19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25路桥Y5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15,074.74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中电建路桥集团有限公司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兴业信托·兴享稳盈35号债券投资集合资金信托计划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兴银理财丰利逸动9个月最短持有期日开02号增强型固收类理财产品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兴银理财丰利逸动9个月最短持有期日开02号增强型固收类理财产品2025年第三季度报告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051010100102193527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兴银理财丰利逸动9个月最短持有期日开02号增强型固收类理财产品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DD6432D"/>
    <w:rsid w:val="586547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2025-10-21T11:12:06Z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