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兴银理财丰收封闭式143号固收类理财产品2025年第三季度报告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兴银理财丰收封闭式143号固收类理财产品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兴银理财丰收封闭式143号固收类理财产品2025年第三季度报告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兴银理财丰收封闭式143号固收类理财产品2025年第三季度报告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兴银理财丰收封闭式143号固收类理财产品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9C311430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Z7002024003031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254,160,777份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丰收封闭式143号A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9C31143A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224,865,155.00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丰收封闭式143号B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9C31143B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25,866,622.00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丰收封闭式143号C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9C31143C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3,429,000.00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兴银理财丰收封闭式143号固收类理财产品2025年第三季度报告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9C31143A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9C31143B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9C31143C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业绩比较基准（9C31143A）：2.10%--3.40%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业绩比较基准（9C31143B）：2.20%--3.50%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业绩比较基准（9C31143C）：2.35%--3.65%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（2）兴银理财丰收封闭式143号固收类理财产品成立于2025年01月16日，数据截止至2025年09月30日。过往业绩是由兴银理财有限责任公司计算并确认后所提供的数据。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9C311430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256,476,820.71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9C31143A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226,892,584.76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9C31143B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26,118,224.30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9C31143C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3,466,011.65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兴银理财丰收封闭式143号固收类理财产品2025年第三季度报告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邓铮先生，英国赫尔大学金融管理硕士，拥有12年金融从业经验，现任兴银理财专户投资部高级投资经理。2019年加入兴业银行资产管理事业部，历任兴业银行资产管理事业部权益投资部投资经理、兴银理财股票与量化投资部投资经理。深耕大类资产配置，擅长各类资产的价值挖掘，具有丰富的固收+投资经验，投资风格稳健，目前管理各类持有期开放式产品和各期限专户固收产品，累计产品管理规模超过500亿。</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债市利率震荡上行，曲线走陡，主要受多空因素交织影响。利空方面，反内卷政策加码、股债跷跷板效应、债基赎回费率调整及中美谈判等压制市场情绪；利多方面，央行重启国债买卖预期、基本面偏弱及资金面均衡宽松形成支撑。7 月初资金面宽松，反内卷政策成为主线，随各行业自律倡议发布、雅江水电站开工等消息刺激，商品大涨、权益创新高，股债跷跷板显现；中下旬资金面收敛担忧、地产政策博弈及权益走强压制债市，但中央会议未提大规模刺激，月末政策表述修正、PMI 偏弱推动收益率下行。8 月资金面维持宽松，央行投放买断式逆回购，虽有利空事件但债市反应平淡；月中权益商品走强、中美联合声明发布推动债市调整；下旬鲍威尔转鸽强化股市预期，地产政策带动销售回升引发宽信用担忧。9 月初资金面仍松，央行与财政协调预期延续；债基赎回费率调整及免税传闻引发赎回压力，经济数据弱于预期但市场反应钝化；中美关系释放积极信号，央行买债传闻发酵推动利率下行，同时股市转为震荡减弱跷跷板效应。</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投资策略上，三季度以来，产品逐渐降低杠杆和久期，逢高建仓短久期高等级信用债提升组合静态，阶段性参与二永债波段交易以寻求交易增厚。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三、2025年四季度展望与投资策略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1、2025年四季度展望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以来经济数据出现明显下滑，经济压力在边际扩大，考虑到上半年经济增速较高，实现全年经济目标压力不大但仍需巩固，预计财政政策大幅加码的概率较低，但政策性金融工具等准财政政策以及货币政策仍会发力，降准降息仍有空间；利率债供给方面按照现行额度，四季度国债和地方债供给压力均缓解，若提前下达部分明年新增地方政府债务限额，靠前使用化债额度，预计央行会重启国债买卖配合财政发力，整体供给冲击有限。近期信贷扩张逐级走弱，三季度经济也承压，美联储降息，汇率对货币政策的制约已经消除，预计随着三季度经济数据出炉，有较大的概率降息，债市可逐步参与降息交易，待降息落地积极止盈，规避后续中美关系改善使得风险偏好抬升以及基金销售新规使得基金负债端变差等扰动。</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信用债方面方面，资产荒延续，中短端信用债确定性更高。展望四季度，在政府债发行背景下，央行对市场流动性较为呵护，资金面大概率宽松；信用债供给难以上量，但“存款搬家”、信用债ETF扩容等方面带来需求增量。在票息资产比较稀缺的情况下，中低等级的信用债品种可以适度挖掘。</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四季度建议久期维持中性，当前套息利差较厚，杠杆策略具有较好性价比。负债稳定产品，关注中短久期信用债、城投适度下沉策略。其次，二永超跌特征较为明显，3年大行资本债、2年AA续债收益率在2.0%-2.07%之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兴银理财丰收封闭式143号固收类理财产品2025年第三季度报告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间，已</w:t>
            </w:r>
            <w:bookmarkStart w:id="8" w:name="_GoBack"/>
            <w:bookmarkEnd w:id="8"/>
            <w:r>
              <w:rPr>
                <w:rFonts w:hint="eastAsia" w:ascii="微软雅黑" w:hAnsi="微软雅黑" w:eastAsia="微软雅黑" w:cs="微软雅黑"/>
                <w:color w:val="000000"/>
                <w:sz w:val="21"/>
              </w:rPr>
              <w:t>经跌出票息价值；4-5年大行资本债在本轮调整中跌幅较大，目前收益率均在2.1%以上，对于负债端稳定的账户而言，可以择机增配。超长期限方面，虽然调整后票息性价比提升，但流动性尚未看到边际改善，谨慎参与。</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93.79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16,463,097.04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24悦达资本PPN002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13,868,878.88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土地01优</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13,780,489.40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23乐山01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11,463,095.03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兴银理财丰收封闭式143号固收类理财产品2025年第三季度报告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24渝空01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11,388,323.88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24京能国际MTN005(BC)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11,296,821.32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25华润银行永续债01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10,978,834.20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23阳光人寿资本补充债01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8,791,939.01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23余杭农商行二级资本债01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8,724,780.29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23胶州03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8,634,917.34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兴银理财丰收封闭式143号固收类理财产品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051010100102085917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兴银理财丰收封闭式143号固收类理财产品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兴银理财丰收封闭式143号固收类理财产品2025年第三季度报告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32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13B127B9"/>
    <w:rsid w:val="704D300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Pages>
  <TotalTime>0</TotalTime>
  <ScaleCrop>false</ScaleCrop>
  <LinksUpToDate>false</LinksUpToDate>
  <Application>WPS Office_11.8.2.12309_F1E327BC-269C-435d-A152-05C5408002CA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2025-10-20T13:12:00Z</dcterms:created>
  <dc:creator>lidongming</dc:creator>
  <cp:lastModifiedBy>lidongming</cp:lastModifiedBy>
  <dcterms:modified xsi:type="dcterms:W3CDTF">2025-10-21T02:10:07Z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CF59AD9699A045A09992B89F7877F9FE</vt:lpwstr>
  </property>
</Properties>
</file>