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gridCol w:w="259"/>
        <w:gridCol w:w="1"/>
      </w:tblGrid>
      <w:tr>
        <w:tblPrEx>
          <w:tblCellMar>
            <w:top w:w="0" w:type="dxa"/>
            <w:left w:w="10" w:type="dxa"/>
            <w:bottom w:w="0" w:type="dxa"/>
            <w:right w:w="10" w:type="dxa"/>
          </w:tblCellMar>
        </w:tblPrEx>
        <w:trPr>
          <w:gridAfter w:val="6"/>
          <w:trHeight w:val="0" w:hRule="atLeast"/>
        </w:trPr>
        <w:tc>
          <w:p>
            <w:pPr>
              <w:pStyle w:val="4"/>
              <w:rPr>
                <w:rFonts w:hint="eastAsia" w:ascii="微软雅黑" w:hAnsi="微软雅黑" w:eastAsia="微软雅黑" w:cs="微软雅黑"/>
              </w:rPr>
            </w:pPr>
            <w:bookmarkStart w:id="0" w:name="JR_PAGE_ANCHOR_0_1"/>
            <w:bookmarkEnd w:id="0"/>
            <w:bookmarkStart w:id="9" w:name="_GoBack"/>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兴银理财日日新5号净值型理财产品2025年第三季度报告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兴银理财日日新5号净值型理财产品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报告送出日期：2025年10月28日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兴银理财日日新5号净值型理财产品2025年第三季度报告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8. 影响理财份额投资人决策的其他重要信息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trHeight w:val="0" w:hRule="atLeast"/>
        </w:trPr>
        <w:tc>
          <w:p>
            <w:pPr>
              <w:pStyle w:val="4"/>
              <w:pageBreakBefore/>
              <w:rPr>
                <w:rFonts w:hint="eastAsia" w:ascii="微软雅黑" w:hAnsi="微软雅黑" w:eastAsia="微软雅黑" w:cs="微软雅黑"/>
              </w:rPr>
            </w:pPr>
            <w:bookmarkStart w:id="2" w:name="JR_PAGE_ANCHOR_0_3"/>
            <w:bookmarkEnd w:id="2"/>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兴银理财日日新5号净值型理财产品2025年第三季度报告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trHeight w:val="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trHeight w:val="6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trHeight w:val="2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trHeight w:val="6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trHeight w:val="2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兴银理财日日新5号净值型理财产品</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9B312150</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Z7002025000021</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开放式</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1,082,070,421.65份</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R1</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trHeight w:val="3000" w:hRule="exact"/>
        </w:trPr>
        <w:tc>
          <w:p>
            <w:pPr>
              <w:pStyle w:val="4"/>
              <w:rPr>
                <w:rFonts w:hint="eastAsia" w:ascii="微软雅黑" w:hAnsi="微软雅黑" w:eastAsia="微软雅黑" w:cs="微软雅黑"/>
              </w:rPr>
            </w:pPr>
          </w:p>
        </w:tc>
        <w:tc>
          <w:tcPr>
            <w:gridSpan w:val="14"/>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兴银日日新5号A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9B31215A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234,226,553.10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兴银日日新5号B（私行尊享）</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9B31215B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65,523,483.54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兴银添利日日新5号C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9B31215C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112,881,532.59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兴银添利日日新5号D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9B31215D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184,870,281.40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trHeight w:val="4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trHeight w:val="257"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trHeight w:val="0" w:hRule="atLeast"/>
        </w:trPr>
        <w:tc>
          <w:p>
            <w:pPr>
              <w:pStyle w:val="4"/>
              <w:pageBreakBefore/>
              <w:rPr>
                <w:rFonts w:hint="eastAsia" w:ascii="微软雅黑" w:hAnsi="微软雅黑" w:eastAsia="微软雅黑" w:cs="微软雅黑"/>
              </w:rPr>
            </w:pPr>
            <w:bookmarkStart w:id="3" w:name="JR_PAGE_ANCHOR_0_4"/>
            <w:bookmarkEnd w:id="3"/>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兴银理财日日新5号净值型理财产品2025年第三季度报告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trHeight w:val="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trHeight w:val="3000" w:hRule="exact"/>
        </w:trPr>
        <w:tc>
          <w:p>
            <w:pPr>
              <w:pStyle w:val="4"/>
              <w:rPr>
                <w:rFonts w:hint="eastAsia" w:ascii="微软雅黑" w:hAnsi="微软雅黑" w:eastAsia="微软雅黑" w:cs="微软雅黑"/>
              </w:rPr>
            </w:pPr>
          </w:p>
        </w:tc>
        <w:tc>
          <w:tcPr>
            <w:gridSpan w:val="14"/>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兴银日日新5号E（私银）</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9B31215E</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17,334,449.36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兴银添利日日新5号F</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9B31215F</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30,698,605.32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兴银添利日日新5号H</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9B31215H</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45,029,149.39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兴银日日新5号N</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9B31215N</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391,506,366.95</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trHeight w:val="86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trHeight w:val="4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trHeight w:val="54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9B31215A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9B31215B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9B31215C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9B31215D</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9B31215E</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9B31215F</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9B31215H</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9B31215N</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trHeight w:val="2580" w:hRule="atLeast"/>
        </w:trPr>
        <w:tc>
          <w:p>
            <w:pPr>
              <w:pStyle w:val="4"/>
              <w:rPr>
                <w:rFonts w:hint="eastAsia" w:ascii="微软雅黑" w:hAnsi="微软雅黑" w:eastAsia="微软雅黑" w:cs="微软雅黑"/>
              </w:rPr>
            </w:pPr>
          </w:p>
        </w:tc>
        <w:tc>
          <w:tcPr>
            <w:gridSpan w:val="14"/>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业绩比较基准（9B31215A）：人民银行7天通知存款利率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业绩比较基准（9B31215B）：人民银行7天通知存款利率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业绩比较基准（9B31215C）：人民银行7天通知存款利率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业绩比较基准（9B31215D）：人民银行7天通知存款利率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业绩比较基准（9B31215E）：人民银行7天通知存款利率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业绩比较基准（9B31215F）：人民银行7天通知存款利率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业绩比较基准（9B31215H）：人民银行7天通知存款利率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业绩比较基准（9B31215N）：人民银行7天通知存款利率</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trHeight w:val="1403"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trHeight w:val="400"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0" w:hRule="atLeast"/>
        </w:trPr>
        <w:tc>
          <w:p>
            <w:pPr>
              <w:pStyle w:val="4"/>
              <w:pageBreakBefore/>
              <w:rPr>
                <w:rFonts w:hint="eastAsia" w:ascii="微软雅黑" w:hAnsi="微软雅黑" w:eastAsia="微软雅黑" w:cs="微软雅黑"/>
              </w:rPr>
            </w:pPr>
            <w:bookmarkStart w:id="4" w:name="JR_PAGE_ANCHOR_0_5"/>
            <w:bookmarkEnd w:id="4"/>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兴银理财日日新5号净值型理财产品2025年第三季度报告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820" w:hRule="atLeast"/>
        </w:trPr>
        <w:tc>
          <w:p>
            <w:pPr>
              <w:pStyle w:val="4"/>
              <w:rPr>
                <w:rFonts w:hint="eastAsia" w:ascii="微软雅黑" w:hAnsi="微软雅黑" w:eastAsia="微软雅黑" w:cs="微软雅黑"/>
              </w:rPr>
            </w:pPr>
          </w:p>
        </w:tc>
        <w:tc>
          <w:tcPr>
            <w:gridSpan w:val="14"/>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（2）兴银理财日日新5号净值型理财产品成立于2025年02月21日，数据截止至2025年09月30日。过往业绩是由兴银理财有限责任公司计算并确认后所提供的数据。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报告期末，产品收益具体如下：</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12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200"/>
              <w:gridCol w:w="1800"/>
              <w:gridCol w:w="2000"/>
              <w:gridCol w:w="2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万份收益</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七日年化收益率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9B312150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0.3270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1.1980%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1,082,070,421.65</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54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200"/>
              <w:gridCol w:w="1800"/>
              <w:gridCol w:w="2000"/>
              <w:gridCol w:w="2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万份收益</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七日年化收益率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9B31215A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0.3242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1.1889%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234,226,553.10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9B31215B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0.3379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1.2395%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65,523,483.54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9B31215C</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0.3242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1.1889%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112,881,532.59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9B31215D</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0.3653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1.3408%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184,870,281.40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9B31215E</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0.3379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1.2395%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17,334,449.36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9B31215F</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0.3516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1.2901%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30,698,605.32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9B31215H</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0.2968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1.0878%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45,029,149.39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9B31215N</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0.3105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1.1383%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391,506,366.95</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56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124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李刚刚先生，清华大学工学学士、硕士，具有银行间本币市场交易员资格。2020年加入兴银理财，主要从事理财产品投资组合管理工作，协助管理总规模逾千亿，善于大资金的资产配置和流动性管理。现担任“兴银理财添利8号净值型理财产品”“兴银理财日日新1号净值型理财产品”“兴银理财稳添利日盈增利5号日开固收类理财产品”和兴银理财“添利通宝”系列产品投资经理。</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136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兴银理财日日新5号净值型理财产品2025年第三季度报告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1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99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一、宏观经济及市场情况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三季度国内经济呈现”内需弱势与局部改善并存”的特征。核心需求端仍显疲软，社会消费品零售增速仅3.4%，企业中长期贷款为核心的社融增速持续下行，显示实体经济融资需求尚未根本回暖。制造业PMI连续6个月处于荣枯线以下，印证经济回升基础尚不牢固。局部经济数据有所改善，表现在由电力热力、黑色金属冶炼等行业拉动下，8月规上工业企业利润同比增长20.4%。短期改善源于夏季用电高峰与反内卷政策带来的上游价格上行，但期货价格后续回落与需求疲软使得利润修复可持续性存疑。</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货币政策方面，三季度央行延续适度宽松、逆周期调节的核心取向，通过”总量+结构”双重工具组合维护市场稳定。三季度货政例会明确提出”落实落细适度宽松的货币政策”，强调综合运用多种工具保持流动性充裕，推动社会融资成本维持历史低位。操作层面在7月反内卷政策落地、9月跨季等时点通过中长期流动性超额续作等操作平抑波动，尤其对非银机构资金紧张问题及时疏导，确保资金利率中枢稳定在政策合意区间，这种”精准呵护”为短端资产提供了流动性支撑。</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市场来看，债券市场三季度整体表现为”长弱短强、普信抗跌”的特征，曲线走陡。10年国债单季超15BP，30年期国债收益率单季上行超38bp，主要因基金赎回担忧、超长债供给增加及全球长端利率共振影响。而1Y国股存单三季度却呈现出很强的韧性，以“极致低波”成为短端资产锚。7月中旬起，收益率始终围绕1.66%中枢波动。</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展望四季度，本次贸易摩擦升级对市场影响程度或显著弱于4月份，债券市场或迎来短期修复窗口，后续仍延续区间震荡态势。货币政策方面，资金面或保持适度宽松态势，四季度中长期资金到期量加大，维稳思路下继续降准降息空间或有限，结构性政策更多发力，在税期、利率债发行缴款、机构行为等因素影响下，资金面或出现阶段性波动，带动短端收益率相应调整。债券市场方面，股债桥跷跷板形影尚未明显消退，公募债基赎回费改革在即，四季度机构抢跑力量可能有所削弱，驱动债市显著下行动力尚不明显，需密切关注贸易谈判进展和央行货币政策及买债行为等。</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二、前期运作回顾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报告期内，本产品始终将保持流动性安全和防范各类风险作为第一要务，在此基础上通过稳健的投资风格实现相对稳定的收益。三季度短端各类资产在“反内卷”、风险偏好和机构行为等带动下调整后处于配置区间。具体操作上，对同业存单、信用债、ABS和存放同业等各品种持续保持较大的建仓力度，具备套息空间时积极增厚。组合整体维持中枢杠杆和偏积极的剩余期限，配置盘为主保证静态收益，在运作中动态调整组合久期保持收益弹性。</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三、后期投资策略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下阶段本产品仍然会坚持以安全性和流动性优先、兼顾收益性的稳健策略，综合考量各类资产的风险收益特征，根据市场情况灵活把握投资节奏。结合负债端情况提前布局产品流动性，保障产品运作安全。</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31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0" w:hRule="atLeast"/>
        </w:trPr>
        <w:tc>
          <w:p>
            <w:pPr>
              <w:pStyle w:val="4"/>
              <w:pageBreakBefore/>
              <w:rPr>
                <w:rFonts w:hint="eastAsia" w:ascii="微软雅黑" w:hAnsi="微软雅黑" w:eastAsia="微软雅黑" w:cs="微软雅黑"/>
              </w:rPr>
            </w:pPr>
            <w:bookmarkStart w:id="6" w:name="JR_PAGE_ANCHOR_0_7"/>
            <w:bookmarkEnd w:id="6"/>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兴银理财日日新5号净值型理财产品2025年第三季度报告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0F8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17.90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同业存单</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27.49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33.63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9.23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9.66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23.34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38.71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22.04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报告期末本产品总资产未超过该产品净资产规模的120%，符合产品协议对本产品杠杆比例的要求。</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24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 为防范无法支付赎回款而产生的流动性风险，本理财产品管理人将合理安排所投资产期限，持续根据市场变化情况做好投资安排，尽可能降低产品流动性风险，有效保障理财持有人利益。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8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建设银行深圳市分行活期存款</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180,045,322.82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16.64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25CSFD4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101,142,718.17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9.35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质押式逆回购</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100,004,605.78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9.24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24浦发银行CD277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99,799,290.83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9.22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25光大银行CD073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99,106,278.28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9.16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25中信银行CD093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99,106,278.28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9.16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25国金证券CP001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70,837,980.01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6.55</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1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兴银理财日日新5号净值型理财产品2025年第三季度报告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18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24方正证券CP004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20,407,832.76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1.89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25华西证券CP001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20,235,610.18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1.87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25东莞证券CP002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20,203,030.04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1.87</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90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25九江银行CD139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1,538,419.79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九江银行股份有限公司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25九江银行CD142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189,066.21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九江银行股份有限公司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25九江银行CD145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189,066.21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九江银行股份有限公司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25九江银行CD164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1,538,419.79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九江银行股份有限公司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25九江银行CD166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1,538,419.79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九江银行股份有限公司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25厦门国际银行CD115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3,076,839.59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厦门国际银行股份有限公司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25九江银行CD029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189,066.21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九江银行股份有限公司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25九江银行CD073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189,066.21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九江银行股份有限公司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25厦门国际银行CD050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189,066.21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厦门国际银行股份有限公司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25厦门国际银行CD056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189,066.21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厦门国际银行股份有限公司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25九江银行CD128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94,533.11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九江银行股份有限公司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23华福C1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1,999,945.73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华福证券有限责任公司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23兴业C1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769,209.90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兴业证券股份有限公司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23兴业F2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2,307,629.69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兴业证券股份有限公司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8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8" w:name="JR_PAGE_ANCHOR_0_9"/>
            <w:bookmarkEnd w:id="8"/>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兴银理财日日新5号净值型理财产品2025年第三季度报告</w:t>
            </w: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25人保2A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75,502.82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中国人民人寿保险股份有限公司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23闽金04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37,751.41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福建省金融投资有限责任公司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24闽金K1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1,999,945.73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福建省金融投资有限责任公司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23中证01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153,841.98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中证信用增进股份有限公司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0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兴银理财日日新5号净值型理财产品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0.2683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快赎垫资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兴银理财日日新5号净值型理财产品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54.9286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中诚信托-添和【2】号集合资金信托计划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0.6568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中诚信托有限责任公司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兴银理财日日新5号净值型理财产品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8.1765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051010100102107119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兴银理财日日新5号净值型理财产品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0"/>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8.影响理财份额投资人决策的其他重要信息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0"/>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0"/>
              </w:rPr>
              <w:t xml:space="preserve"> 8.1报告期内单一投资者持有产品份额达到或者超过该产品总份额20%的情形</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0"/>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0"/>
            </w:tblGrid>
            <w:tr>
              <w:tblPrEx>
                <w:tblCellMar>
                  <w:top w:w="0" w:type="dxa"/>
                  <w:left w:w="10" w:type="dxa"/>
                  <w:bottom w:w="0" w:type="dxa"/>
                  <w:right w:w="10" w:type="dxa"/>
                </w:tblCellMar>
              </w:tblPrEx>
              <w:trPr>
                <w:trHeight w:val="600" w:hRule="exact"/>
              </w:trPr>
              <w:tc>
                <w:tcPr>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本产品本报告期无单一投资者持有产品份额达到或者超过该产品总份额20%的情形。</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2025年10月28日</w:t>
            </w: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33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bookmarkEnd w:id="9"/>
    <w:sectPr>
      <w:pgSz w:w="11900" w:h="16840"/>
      <w:pgMar w:top="600" w:right="30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800"/>
  <w:compat>
    <w:useFELayout/>
    <w:splitPgBreakAndParaMark/>
    <w:compatSetting w:name="compatibilityMode" w:uri="http://schemas.microsoft.com/office/word" w:val="12"/>
  </w:compat>
  <w:rsids>
    <w:rsidRoot w:val="00000000"/>
    <w:rsid w:val="40DD405F"/>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TD"/>
    <w:qFormat/>
    <w:uiPriority w:val="0"/>
    <w:pPr>
      <w:spacing w:line="240" w:lineRule="auto"/>
    </w:pPr>
    <w:rPr>
      <w:rFonts w:ascii="SansSerif" w:hAnsi="SansSerif" w:eastAsia="SansSerif" w:cs="SansSerif"/>
      <w:color w:val="000000"/>
      <w:sz w:val="20"/>
      <w:szCs w:val="22"/>
    </w:rPr>
  </w:style>
  <w:style w:type="paragraph" w:customStyle="1" w:styleId="7">
    <w:name w:val="Table_CH"/>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2025-10-20T13:11:19Z</dcterms:created>
  <cp:lastModifiedBy>liuke2</cp:lastModifiedBy>
  <dcterms:modified xsi:type="dcterms:W3CDTF">2025-10-20T13:11:20Z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