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400"/>
        <w:gridCol w:w="420"/>
        <w:gridCol w:w="380"/>
        <w:gridCol w:w="740"/>
        <w:gridCol w:w="260"/>
        <w:gridCol w:w="700"/>
        <w:gridCol w:w="300"/>
        <w:gridCol w:w="1000"/>
        <w:gridCol w:w="1000"/>
        <w:gridCol w:w="400"/>
        <w:gridCol w:w="2220"/>
        <w:gridCol w:w="480"/>
        <w:gridCol w:w="100"/>
        <w:gridCol w:w="1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7" w:name="_GoBack"/>
            <w:bookmarkEnd w:id="7"/>
            <w:bookmarkStart w:id="0" w:name="JR_PAGE_ANCHOR_0_1"/>
            <w:bookmarkEnd w:id="0"/>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兴银理财丰利甄合封闭式23号固收类理财产品2025年第二季度报告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兴银理财丰利甄合封闭式23号固收类理财产品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兴银理财丰利甄合封闭式23号固收类理财产品2025年第二季度报告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3"/>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兴银理财丰利甄合封闭式23号固收类理财产品2025年第二季度报告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80" w:hRule="atLeast"/>
        </w:trPr>
        <w:tc>
          <w:p>
            <w:pPr>
              <w:pStyle w:val="4"/>
              <w:rPr>
                <w:rFonts w:hint="eastAsia" w:ascii="微软雅黑" w:hAnsi="微软雅黑" w:eastAsia="微软雅黑" w:cs="微软雅黑"/>
              </w:rPr>
            </w:pPr>
          </w:p>
        </w:tc>
        <w:tc>
          <w:tcPr>
            <w:gridSpan w:val="18"/>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兴银理财丰利甄合封闭式23号固收类理财产品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9ZH62230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Z7002024002952</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100,000,000.00份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R2</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57" w:hRule="atLeas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兴银理财丰利甄合封闭式23号固收类理财产品2025年第二季度报告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9ZH62230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业绩比较基准（9ZH62230）：2.80%--3.20%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820" w:hRule="atLeast"/>
        </w:trPr>
        <w:tc>
          <w:p>
            <w:pPr>
              <w:pStyle w:val="4"/>
              <w:rPr>
                <w:rFonts w:hint="eastAsia" w:ascii="微软雅黑" w:hAnsi="微软雅黑" w:eastAsia="微软雅黑" w:cs="微软雅黑"/>
              </w:rPr>
            </w:pPr>
          </w:p>
        </w:tc>
        <w:tc>
          <w:tcPr>
            <w:gridSpan w:val="1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（2）兴银理财丰利甄合封闭式23号固收类理财产品成立于2024年12月13日，数据截止至2025年06月30日。过往业绩是由兴银理财有限责任公司计算并确认后所提供的数据。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5"/>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估值日期</w:t>
            </w:r>
          </w:p>
        </w:tc>
        <w:tc>
          <w:tcPr>
            <w:gridSpan w:val="5"/>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产品份额净值</w:t>
            </w:r>
          </w:p>
        </w:tc>
        <w:tc>
          <w:tcPr>
            <w:gridSpan w:val="4"/>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 xml:space="preserve">产品累计净值 </w:t>
            </w:r>
          </w:p>
        </w:tc>
        <w:tc>
          <w:tcPr>
            <w:gridSpan w:val="3"/>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产品资产净值</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5"/>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c>
          <w:tcPr>
            <w:gridSpan w:val="5"/>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1.01452</w:t>
            </w:r>
          </w:p>
        </w:tc>
        <w:tc>
          <w:tcPr>
            <w:gridSpan w:val="4"/>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1.01452</w:t>
            </w:r>
          </w:p>
        </w:tc>
        <w:tc>
          <w:tcPr>
            <w:gridSpan w:val="3"/>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101,452,295.22</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孙新华先生，清华大学计算机系本科、硕士，金融领域从业8年。历任华创证券资产管理部投资经理、投资经理助理、通联数据量化研究员。2020年加入兴银理财，任创新业务部投资经理。投资理念偏向系统化投资，运用量化投资方法寻求绝对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43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全球经济复苏步伐仍显分化，国际贸易局势在关税谈判的反复中持续震荡。国内经济在稳增长政策持续发力下，呈现结构优化、动能转换的积极态势，但经济内生增长动力仍有待进一步增强，消费复苏的持续性和投资的稳定性面临一定挑战。在这样的宏观环境下，债券市场表现出复杂的运行特征。利率方面，10年期国债收益率在二季度初受经济数据短期波动及地方债发行提速预期影响，出现阶段性上行，但随着央行通过公开市场操作精准调节流动性，收益率在中下旬逐步回落，整体呈现高位震荡后下行的走势。信用债市场中，信用利差在波动中进一步收窄，主要得益于市场风险偏好的阶段性改善以及信用债供给结构的优化，高等级信用债受到投资者的青睐，而部分资质较弱的主体仍面临一定的融资压力。本产品在二季度灵活调整投资策略，积极适应市场变化。在利率债投资上，密切跟踪宏观经济数据和政策动向，通过久期调整把握利率波动带来的交易机会。在收益率上行阶段，适当缩短久期，降低利率风险；随着收益率下行预期增强，逐步拉长久期，提升组合的潜在收益。在信用债投资方面，进一步强化信用研究，严格筛选投资标的，在控制信用风险的前提下，适度下沉信用资质，挖掘具有较高性价比的信用债，以增厚组合收益。同时，积极参与一级市场投标，获取相对稳定的票息收益，并根据二级市场价</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兴银理财丰利甄合封闭式23号固收类理财产品2025年第二季度报告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格波动，适时开展波段操作。通过上述策略的有效实施，本产品在二季度实现了较为稳健的收益增长，在控制风险的同时，较好地把握了债券市场的结构性机会，为投资者创造了稳健回报。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9"/>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640" w:hRule="exact"/>
        </w:trPr>
        <w:tc>
          <w:p>
            <w:pPr>
              <w:pStyle w:val="4"/>
              <w:rPr>
                <w:rFonts w:hint="eastAsia" w:ascii="微软雅黑" w:hAnsi="微软雅黑" w:eastAsia="微软雅黑" w:cs="微软雅黑"/>
              </w:rPr>
            </w:pPr>
          </w:p>
        </w:tc>
        <w:tc>
          <w:tcPr>
            <w:gridSpan w:val="18"/>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25索普01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9,786,353.99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25即墨02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9,769,875.24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25高要01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9,764,850.35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23开封04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7,590,925.26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22渤投01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7,580,426.55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兴银理财丰利甄合封闭式23号固收类理财产品2025年第二季度报告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18"/>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24动投01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6,010,153.98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23饶资01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5,073,469.46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25菏投01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5,015,342.23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24中牟03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4,988,985.55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24菏工01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4,979,527.25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兴业信托·兴享稳健元璟9号证券投资集合资金信托计划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兴银理财丰利甄合封闭式23号固收类理财产品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0.2540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051010100102064764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兴银理财丰利甄合封闭式23号固收类理财产品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兴银理财丰利甄合封闭式23号固收类理财产品2025年第二季度报告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39CF5B3B"/>
    <w:rsid w:val="6967157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2025-07-11T15:38:00Z</dcterms:created>
  <dc:creator>liuke2</dc:creator>
  <cp:lastModifiedBy>liuke2</cp:lastModifiedBy>
  <dcterms:modified xsi:type="dcterms:W3CDTF">2025-07-14T06:45:30Z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