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gridCol w:w="259"/>
        <w:gridCol w:w="1"/>
      </w:tblGrid>
      <w:tr>
        <w:tblPrEx>
          <w:tblCellMar>
            <w:top w:w="0" w:type="dxa"/>
            <w:left w:w="10" w:type="dxa"/>
            <w:bottom w:w="0" w:type="dxa"/>
            <w:right w:w="10" w:type="dxa"/>
          </w:tblCellMar>
        </w:tblPrEx>
        <w:trPr>
          <w:gridAfter w:val="6"/>
          <w:wAfter w:w="30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兴银理财添利天天利27号净值型理财产品2025年第二季度报告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兴银理财添利天天利27号净值型理财产品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兴银理财添利天天利27号净值型理财产品2025年第二季度报告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7. 投资账户信息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8. 影响理财份额投资人决策的其他重要信息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2" w:name="JR_PAGE_ANCHOR_0_3"/>
            <w:bookmarkEnd w:id="2"/>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兴银理财添利天天利27号净值型理财产品2025年第二季度报告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兴银理财添利天天利27号净值型理财产品</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9TTL0270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Z7002023000420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2,961,324,980.41份</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R1</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3000" w:hRule="exact"/>
        </w:trPr>
        <w:tc>
          <w:p>
            <w:pPr>
              <w:pStyle w:val="4"/>
              <w:rPr>
                <w:rFonts w:hint="eastAsia" w:ascii="微软雅黑" w:hAnsi="微软雅黑" w:eastAsia="微软雅黑" w:cs="微软雅黑"/>
              </w:rPr>
            </w:pPr>
          </w:p>
        </w:tc>
        <w:tc>
          <w:tcPr>
            <w:gridSpan w:val="14"/>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兴银添利天天利27号A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9TTL027A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488,267,400.84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兴银添利天天利27号B(私银）</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9TTL027B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151,697,745.22</w:t>
                        </w:r>
                      </w:p>
                    </w:tc>
                  </w:tr>
                </w:tbl>
                <w:p>
                  <w:pPr>
                    <w:pStyle w:val="4"/>
                    <w:rPr>
                      <w:rFonts w:hint="eastAsia" w:ascii="微软雅黑" w:hAnsi="微软雅黑" w:eastAsia="微软雅黑" w:cs="微软雅黑"/>
                    </w:rPr>
                  </w:pPr>
                </w:p>
              </w:tc>
            </w:tr>
            <w:tr>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兴银添利天天利27号C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9TTL027C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126,688,399.51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兴银添利天天利27号D（私银尊享）</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9TTL027D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63,437,106.10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57"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兴银理财添利天天利27号净值型理财产品2025年第二季度报告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8400" w:hRule="exact"/>
        </w:trPr>
        <w:tc>
          <w:p>
            <w:pPr>
              <w:pStyle w:val="4"/>
              <w:rPr>
                <w:rFonts w:hint="eastAsia" w:ascii="微软雅黑" w:hAnsi="微软雅黑" w:eastAsia="微软雅黑" w:cs="微软雅黑"/>
              </w:rPr>
            </w:pPr>
          </w:p>
        </w:tc>
        <w:tc>
          <w:tcPr>
            <w:gridSpan w:val="14"/>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兴银添利天天利27号E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9TTL027E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24,680,632.66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兴银添利天天利27号F</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9TTL027F</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278,089,524.46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兴银添利天天利27号H</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9TTL027H</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248,541,191.47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兴银添利天天利27号I（杭州银行专属）</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9TTL027I</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53,906,311.80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兴银添利天天利27号J</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9TTL027J</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4,033,640.74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兴银添利天天利27号K</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9TTL027K</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834,437,468.53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兴银添利天天利27号M</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9TTL027M</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63,430,722.62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兴银添利天天利27号N</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9TTL027N</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330,503,507.69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兴银添利天天利27号T</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9TTL027T</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42,514,457.19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兴银添利天天利27号U</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9TTL027U</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38,972,589.57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兴银理财添利天天利27号W</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9TTL027W</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34,159,131.88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兴银添利天天利27号Y</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9TTL027Y</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77,107,405.69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兴银添利天天利27号Z</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9TTL027Z</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100,857,744.44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86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3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2024年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2023年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2022年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2021年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2020年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9TTL027A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9TTL027B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9TTL027C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9TTL027D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9TTL027E</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5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兴银理财添利天天利27号净值型理财产品2025年第二季度报告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72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9TTL027F</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9TTL027H</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9TTL027I</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9TTL027J</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9TTL027K</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9TTL027M</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9TTL027N</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9TTL027T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9TTL027U</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9TTL027W</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9TTL027Y</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9TTL027Z</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580" w:hRule="atLeast"/>
        </w:trPr>
        <w:tc>
          <w:p>
            <w:pPr>
              <w:pStyle w:val="4"/>
              <w:rPr>
                <w:rFonts w:hint="eastAsia" w:ascii="微软雅黑" w:hAnsi="微软雅黑" w:eastAsia="微软雅黑" w:cs="微软雅黑"/>
              </w:rPr>
            </w:pPr>
          </w:p>
        </w:tc>
        <w:tc>
          <w:tcPr>
            <w:gridSpan w:val="14"/>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业绩比较基准（9TTL027A）：人民银行7天通知存款利率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业绩比较基准（9TTL027B）：人民银行7天通知存款利率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业绩比较基准（9TTL027C）：人民银行7天通知存款利率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业绩比较基准（9TTL027D）：人民银行7天通知存款利率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业绩比较基准（9TTL027E）：人民银行7天通知存款利率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业绩比较基准（9TTL027F）：人民银行7天通知存款利率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业绩比较基准（9TTL027H）：人民银行7天通知存款利率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业绩比较基准（9TTL027I）：人民银行7天通知存款利率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业绩比较基准（9TTL027J）：人民银行7天通知存款利率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业绩比较基准（9TTL027K）：人民银行7天通知存款利率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业绩比较基准（9TTL027M）：人民银行7天通知存款利率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业绩比较基准（9TTL027N）：人民银行7天通知存款利率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业绩比较基准（9TTL027T）：人民银行7天通知存款利率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业绩比较基准（9TTL027U）：人民银行7天通知存款利率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业绩比较基准（9TTL027W）：人民银行7天通知存款利率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业绩比较基准（9TTL027Y）：人民银行7天通知存款利率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业绩比较基准（9TTL027Z）：人民银行7天通知存款利率</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16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5" w:name="JR_PAGE_ANCHOR_0_6"/>
            <w:bookmarkEnd w:id="5"/>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兴银理财添利天天利27号净值型理财产品2025年第二季度报告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820" w:hRule="atLeast"/>
        </w:trPr>
        <w:tc>
          <w:p>
            <w:pPr>
              <w:pStyle w:val="4"/>
              <w:rPr>
                <w:rFonts w:hint="eastAsia" w:ascii="微软雅黑" w:hAnsi="微软雅黑" w:eastAsia="微软雅黑" w:cs="微软雅黑"/>
              </w:rPr>
            </w:pPr>
          </w:p>
        </w:tc>
        <w:tc>
          <w:tcPr>
            <w:gridSpan w:val="14"/>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（2）兴银理财添利天天利27号净值型理财产品成立于2023年06月02日，数据截止至2025年06月30日。过往业绩是由兴银理财有限责任公司计算并确认后所提供的数据。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报告期末，产品收益具体如下：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12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200"/>
              <w:gridCol w:w="1800"/>
              <w:gridCol w:w="2000"/>
              <w:gridCol w:w="2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万份收益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七日年化收益率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9TTL0270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0.2969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1.2890%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2,961,324,980.41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90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200"/>
              <w:gridCol w:w="1800"/>
              <w:gridCol w:w="2000"/>
              <w:gridCol w:w="2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万份收益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七日年化收益率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9TTL027A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0.2874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1.2490%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488,267,400.84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9TTL027B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0.3075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1.3310%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151,697,745.22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9TTL027C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0.2659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1.1760%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126,688,399.51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9TTL027D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0.2830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1.2310%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63,437,106.10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9TTL027E</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0.2964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1.2780%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24,680,632.66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9TTL027F</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0.2590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1.1680%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278,089,524.46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9TTL027H</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0.2909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1.2760%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248,541,191.47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9TTL027I</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0.3240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1.3820%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53,906,311.80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9TTL027J</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0.2967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1.2820%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4,033,640.74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9TTL027K</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0.3214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1.3800%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834,437,468.53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9TTL027M</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0.3062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1.3090%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63,430,722.62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9TTL027N</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0.2956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1.2790%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330,503,507.69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9TTL027T</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0.3367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1.4210%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42,514,457.19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9TTL027U</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0.3235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1.3800%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38,972,589.57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38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0" w:hRule="atLeast"/>
        </w:trPr>
        <w:tc>
          <w:p>
            <w:pPr>
              <w:pStyle w:val="4"/>
              <w:pageBreakBefore/>
              <w:rPr>
                <w:rFonts w:hint="eastAsia" w:ascii="微软雅黑" w:hAnsi="微软雅黑" w:eastAsia="微软雅黑" w:cs="微软雅黑"/>
              </w:rPr>
            </w:pPr>
            <w:bookmarkStart w:id="6" w:name="JR_PAGE_ANCHOR_0_7"/>
            <w:bookmarkEnd w:id="6"/>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兴银理财添利天天利27号净值型理财产品2025年第二季度报告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4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200"/>
              <w:gridCol w:w="1800"/>
              <w:gridCol w:w="2000"/>
              <w:gridCol w:w="2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万份收益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七日年化收益率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9TTL027W</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0.2423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1.0770%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34,159,131.88</w:t>
                        </w:r>
                      </w:p>
                    </w:tc>
                  </w:tr>
                </w:tbl>
                <w:p>
                  <w:pPr>
                    <w:pStyle w:val="4"/>
                    <w:rPr>
                      <w:rFonts w:hint="eastAsia" w:ascii="微软雅黑" w:hAnsi="微软雅黑" w:eastAsia="微软雅黑" w:cs="微软雅黑"/>
                    </w:rPr>
                  </w:pPr>
                </w:p>
              </w:tc>
            </w:tr>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9TTL027Y</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0.2970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1.2820%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77,107,405.69</w:t>
                        </w:r>
                      </w:p>
                    </w:tc>
                  </w:tr>
                </w:tbl>
                <w:p>
                  <w:pPr>
                    <w:pStyle w:val="4"/>
                    <w:rPr>
                      <w:rFonts w:hint="eastAsia" w:ascii="微软雅黑" w:hAnsi="微软雅黑" w:eastAsia="微软雅黑" w:cs="微软雅黑"/>
                    </w:rPr>
                  </w:pPr>
                </w:p>
              </w:tc>
            </w:tr>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9TTL027Z</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0.2664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1.1780%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100,857,744.44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5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124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李刚刚先生，清华大学工学学士、硕士，具有银行间本币市场交易员资格。2020年加入兴银理财，主要从事理财产品投资组合管理工作，协助管理总规模逾千亿，善于大资金的资产配置和流动性管理。现担任“兴银理财添利8号净值型理财产品”“兴银理财日日新1号净值型理财产品”“兴银理财稳添利日盈增利5号日开固收类理财产品”和兴银理财“添利通宝”系列产品投资经理。</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1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9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一、宏观经济及市场情况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上半年，债市聚焦中美关税博弈与财政货币政策应对，整体呈现先上后下走势。4月初，“对等关税”政策落地后，中美关税博弈升级，避险情绪及宽货币预期催化下10Y国债收益直线下行近20BP，债市步入牛市行情。5月降准降息落地叠加中美谈判取得阶段性缓和，市场转而交易“宽松利多出尽”逻辑，下旬大行存款利率调降引发银行负债流失担忧，收益率回调至1.73%，后受关税反复影响回到1.68%。6月同业存单到期规模4.2万亿，央行通过前置操作买断式逆回购等方式积极投放呵护银行体系流动性。资金宽松下债市定价区间整体下移，10Y国债收益率围绕1.65%中枢盘整，曲线走陡。交易强化下信用利差和期限利差相应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展望三季度，经济弱复苏延续，外需、地产对基本面制约仍在，关税不确定性扰动下市场对政策托底有期待。资金面预计维持均衡偏松态势，总量层面的宽松节奏或相对靠后。当前短端资产具备一定的胜率，但顺畅下行空间的打开仍需货币宽松预期的进一步兑现，关注降息、央行重启国债买卖和创新结构性货币工具落地节奏。</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二、前期运作回顾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内，本产品始终将保持流动性安全和防范各类风险作为第一要务，在此基础上通过稳健的投资风格实现相对稳定的收益。基于对货币宽松和关税冲突的预期，考虑资金资产比价，我们整体上认为二季度短端各类资产处于配置区间。具体操作上，对同业存单、信用债、ABS和存放同业等各品种持续保持较大的建仓力度，具备套息空间时积极增厚。组合整体维持中枢杠杆和偏积极的剩余期限，配置盘为主保证静态收益，在运作中动态调整组合久期保持收益弹性。</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三、后期投资策略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下阶段本产品仍然会坚持以安全性和流动性优先、兼顾收益性的稳健策略，综合考量各类资产的风险收益特征，根据市场情况灵活把握投资节奏。结合负债端情况提前布局产品流动性，保障产品运作安全。</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0" w:hRule="atLeast"/>
        </w:trPr>
        <w:tc>
          <w:p>
            <w:pPr>
              <w:pStyle w:val="4"/>
              <w:pageBreakBefore/>
              <w:rPr>
                <w:rFonts w:hint="eastAsia" w:ascii="微软雅黑" w:hAnsi="微软雅黑" w:eastAsia="微软雅黑" w:cs="微软雅黑"/>
              </w:rPr>
            </w:pPr>
            <w:bookmarkStart w:id="7" w:name="JR_PAGE_ANCHOR_0_8"/>
            <w:bookmarkEnd w:id="7"/>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兴银理财添利天天利27号净值型理财产品2025年第二季度报告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0F8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59.07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59.15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17.11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8.89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14.85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报告期末本产品总资产未超过该产品净资产规模的120%，符合产品协议对本产品杠杆比例的要求。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24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8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Z存放同业（线上）20241213007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352,490,000.00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11.90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Z存放同业（线上）20241206010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303,070,499.31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10.23</w:t>
                        </w:r>
                      </w:p>
                    </w:tc>
                  </w:tr>
                </w:tbl>
                <w:p>
                  <w:pPr>
                    <w:pStyle w:val="4"/>
                    <w:rPr>
                      <w:rFonts w:hint="eastAsia" w:ascii="微软雅黑" w:hAnsi="微软雅黑" w:eastAsia="微软雅黑" w:cs="微软雅黑"/>
                    </w:rPr>
                  </w:pPr>
                </w:p>
              </w:tc>
            </w:tr>
            <w:tr>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Z存放同业（线上）20250108008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302,436,000.00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10.21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Z存放同业（线上）20250314007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301,880,250.00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10.19</w:t>
                        </w:r>
                      </w:p>
                    </w:tc>
                  </w:tr>
                </w:tbl>
                <w:p>
                  <w:pPr>
                    <w:pStyle w:val="4"/>
                    <w:rPr>
                      <w:rFonts w:hint="eastAsia" w:ascii="微软雅黑" w:hAnsi="微软雅黑" w:eastAsia="微软雅黑" w:cs="微软雅黑"/>
                    </w:rPr>
                  </w:pPr>
                </w:p>
              </w:tc>
            </w:tr>
            <w:tr>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300,017,194.40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10.13</w:t>
                        </w:r>
                      </w:p>
                    </w:tc>
                  </w:tr>
                </w:tbl>
                <w:p>
                  <w:pPr>
                    <w:pStyle w:val="4"/>
                    <w:rPr>
                      <w:rFonts w:hint="eastAsia" w:ascii="微软雅黑" w:hAnsi="微软雅黑" w:eastAsia="微软雅黑" w:cs="微软雅黑"/>
                    </w:rPr>
                  </w:pPr>
                </w:p>
              </w:tc>
            </w:tr>
            <w:tr>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Z存放同业（线上）20241204017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202,055,165.97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6.82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Z存放同业（线上）20241203010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202,041,666.20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6.82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1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兴银理财添利天天利27号净值型理财产品2025年第二季度报告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Z存放同业（线上）20241210007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202,030,000.00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6.82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农业银行横琴粤澳深度合作区分行活期存款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150,018,513.55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5.07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25长沙银行CD079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99,471,437.08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3.36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30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24湘高速CP006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22湖南财信MTN001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24赣锋锂业CP001(科创票据)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24红塔证券CP007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红塔证券股份有限公司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54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兴银理财添利天天利27号净值型理财产品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2.9839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快赎垫资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Z存放同业（线上）20241203010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授信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Z存放同业（线上）20241210007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授信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兴银理财添利天天利27号净值型理财产品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1.4567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兴银理财添利天天利27号净值型理财产品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0.7865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厦门国际银行股份有限公司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兴银理财添利天天利27号净值型理财产品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21.0610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中诚信托-添和【2】号集合资金信托计划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0.0851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中诚信托有限责任公司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兴银理财添利天天利27号净值型理财产品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101.0191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9" w:name="JR_PAGE_ANCHOR_0_10"/>
            <w:bookmarkEnd w:id="9"/>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兴银理财添利天天利27号净值型理财产品2025年第二季度报告</w:t>
            </w: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051010100101629766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兴银理财添利天天利27号净值型理财产品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0"/>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8.影响理财份额投资人决策的其他重要信息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0"/>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0"/>
              </w:rPr>
              <w:t xml:space="preserve"> 8.1报告期内单一投资者持有产品份额达到或者超过该产品总份额20%的情形</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0"/>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0"/>
            </w:tblGrid>
            <w:tr>
              <w:trPr>
                <w:trHeight w:val="600" w:hRule="exact"/>
              </w:trPr>
              <w:tc>
                <w:tcPr>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本产品本报告期无单一投资者持有产品份额达到或者超过该产品总份额20%的情形。</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53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bookmarkStart w:id="10" w:name="_GoBack"/>
            <w:bookmarkEnd w:id="10"/>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30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800"/>
  <w:compat>
    <w:useFELayout/>
    <w:splitPgBreakAndParaMark/>
    <w:compatSetting w:name="compatibilityMode" w:uri="http://schemas.microsoft.com/office/word" w:val="12"/>
  </w:compat>
  <w:rsids>
    <w:rsidRoot w:val="00000000"/>
    <w:rsid w:val="161969AC"/>
    <w:rsid w:val="6F29166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TD"/>
    <w:qFormat/>
    <w:uiPriority w:val="0"/>
    <w:pPr>
      <w:spacing w:line="240" w:lineRule="auto"/>
    </w:pPr>
    <w:rPr>
      <w:rFonts w:ascii="SansSerif" w:hAnsi="SansSerif" w:eastAsia="SansSerif" w:cs="SansSerif"/>
      <w:color w:val="000000"/>
      <w:sz w:val="20"/>
      <w:szCs w:val="22"/>
    </w:rPr>
  </w:style>
  <w:style w:type="paragraph" w:customStyle="1" w:styleId="7">
    <w:name w:val="Table_CH"/>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2025-07-11T15:34:00Z</dcterms:created>
  <dc:creator>wujiaqi1</dc:creator>
  <cp:lastModifiedBy>wujiaqi1</cp:lastModifiedBy>
  <dcterms:modified xsi:type="dcterms:W3CDTF">2025-07-14T06:47:11Z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