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兴银理财添利天天利12号净值型理财产品2025年第二季度报告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兴银理财添利天天利12号净值型理财产品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兴银理财添利天天利12号净值型理财产品2025年第二季度报告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兴银理财添利天天利12号净值型理财产品2025年第二季度报告</w:t>
            </w:r>
          </w:p>
        </w:tc>
        <w:tc>
          <w:p>
            <w:pPr>
              <w:pStyle w:val="4"/>
              <w:rPr>
                <w:rFonts w:hint="eastAsia" w:ascii="微软雅黑" w:hAnsi="微软雅黑" w:eastAsia="微软雅黑" w:cs="微软雅黑"/>
              </w:rPr>
            </w:pPr>
          </w:p>
        </w:tc>
      </w:tr>
      <w:tr>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兴银理财添利天天利12号净值型理财产品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9TTL0120</w:t>
            </w:r>
          </w:p>
        </w:tc>
        <w:tc>
          <w:p>
            <w:pPr>
              <w:pStyle w:val="4"/>
              <w:rPr>
                <w:rFonts w:hint="eastAsia" w:ascii="微软雅黑" w:hAnsi="微软雅黑" w:eastAsia="微软雅黑" w:cs="微软雅黑"/>
              </w:rPr>
            </w:pPr>
          </w:p>
        </w:tc>
      </w:tr>
      <w:tr>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Z7002023000389</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5,660,134,074.48份</w:t>
            </w:r>
          </w:p>
        </w:tc>
        <w:tc>
          <w:p>
            <w:pPr>
              <w:pStyle w:val="4"/>
              <w:rPr>
                <w:rFonts w:hint="eastAsia" w:ascii="微软雅黑" w:hAnsi="微软雅黑" w:eastAsia="微软雅黑" w:cs="微软雅黑"/>
              </w:rPr>
            </w:pPr>
          </w:p>
        </w:tc>
      </w:tr>
      <w:tr>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1,460,141,549.00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兴银添利天天利12号B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860,792,087.28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兴银添利天天利12号（私银）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136,004,982.94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兴银添利天天利12号D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2,438,664,880.13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兴银理财添利天天利12号净值型理财产品2025年第二季度报告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8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兴银添利天天利12号E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9TTL012E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82,748,751.09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兴银添利天天利12号F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9TTL012F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44,121,981.14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兴银添利天天利12号T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9TTL012T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37,487,101.43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兴银添利天天利12号U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9TTL012U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56,379,760.20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添利天天利12号V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9TTL012V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402.23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兴银理财添利天天利12号W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9TTL012W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101,785,054.25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兴银添利天天利12号Y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9TTL012Y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442,007,524.79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rPr>
          <w:gridAfter w:val="6"/>
          <w:wAfter w:w="300" w:type="dxa"/>
          <w:trHeight w:val="7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9TTL012E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9TTL012F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9TTL012T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9TTL012U</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9TTL012V</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9TTL012W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9TTL012Y</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25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兴银理财添利天天利12号净值型理财产品2025年第二季度报告</w:t>
            </w:r>
          </w:p>
        </w:tc>
        <w:tc>
          <w:p>
            <w:pPr>
              <w:pStyle w:val="4"/>
              <w:rPr>
                <w:rFonts w:hint="eastAsia" w:ascii="微软雅黑" w:hAnsi="微软雅黑" w:eastAsia="微软雅黑" w:cs="微软雅黑"/>
              </w:rPr>
            </w:pPr>
          </w:p>
        </w:tc>
      </w:tr>
      <w:tr>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58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业绩比较基准（9TTL012A）：人民银行7天通知存款利率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业绩比较基准（9TTL012B）：人民银行7天通知存款利率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业绩比较基准（9TTL012C）：人民银行7天通知存款利率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业绩比较基准（9TTL012D）：人民银行7天通知存款利率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业绩比较基准（9TTL012E）：人民银行7天通知存款利率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业绩比较基准（9TTL012F）：人民银行7天通知存款利率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业绩比较基准（9TTL012T）：人民银行7天通知存款利率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业绩比较基准（9TTL012U）：人民银行7天通知存款利率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业绩比较基准（9TTL012V）：人民银行7天通知存款利率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业绩比较基准（9TTL012W）：人民银行7天通知存款利率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业绩比较基准（9TTL012Y）：人民银行7天通知存款利率</w:t>
            </w:r>
          </w:p>
        </w:tc>
        <w:tc>
          <w:p>
            <w:pPr>
              <w:pStyle w:val="4"/>
              <w:rPr>
                <w:rFonts w:hint="eastAsia" w:ascii="微软雅黑" w:hAnsi="微软雅黑" w:eastAsia="微软雅黑" w:cs="微软雅黑"/>
              </w:rPr>
            </w:pPr>
          </w:p>
        </w:tc>
      </w:tr>
      <w:tr>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（2）兴银理财添利天天利12号净值型理财产品成立于2023年06月02日，数据截止至2025年06月30日。过往业绩是由兴银理财有限责任公司计算并确认后所提供的数据。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0.5841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5,660,134,074.48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5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0.5615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1,460,141,549.00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0.5613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860,792,087.28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0.5757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136,004,982.94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0.6141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2,438,664,880.13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9TTL012E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0.5677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82,748,751.09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9TTL012F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0.5620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44,121,981.14</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9TTL012T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37,487,101.43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9TTL012U</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0.5889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56,379,760.20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兴银理财添利天天利12号净值型理财产品2025年第二季度报告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9TTL012V</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0.7458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9TTL012W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101,785,054.25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9TTL012Y</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0.5613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442,007,524.79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280" w:type="dxa"/>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汪锦女士，上海财经大学管理学学士、经济学硕士，国际金融理财师（CFP），中级经济师职称。银行理财产品创设、投资从业14年。 2008年任上海银行金融市场部同业“利多系列”产品投资经理；2013年加入兴业银行总行资产管理部历任同业“稳增1号”“稳增2号”投资经理。2016年起，负责兴业银行资产管理部流动性管理，期间管理总规模逾万亿，擅长大资金的资产配置和流动性管理；2019年加入兴银理财，现担任兴银理财添利9号、添利5号、添利10号、日日新2号和现金宝4号净值型理财产品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280" w:type="dxa"/>
          <w:trHeight w:val="6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市聚焦中美关税博弈与财政货币政策应对，整体呈现先上后下走势。4月初，“对等关税”政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280" w:type="dxa"/>
          <w:trHeight w:val="11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兴银理财添利天天利12号净值型理财产品2025年第二季度报告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rPr>
          <w:gridAfter w:val="2"/>
          <w:wAfter w:w="260" w:type="dxa"/>
          <w:trHeight w:val="3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Z存放同业（线上）20250109026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302,407,583.91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Z存放同业（线上）20250418007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301,116,166.42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Z存放同业（线上）20250521001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300,583,225.00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建设银行深圳市分行活期存款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300,106,177.02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Z存放同业（线上）20241209003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242,448,000.00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4.28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兴银理财添利天天利12号净值型理财产品2025年第二季度报告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质押式逆回购(SECREPO250627000556169)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210,049,974.04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Z存放同业（线上）202506060010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200,240,277.75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24杭州银行CD166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199,621,755.40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25工商银行CD035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197,544,790.20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质押式逆回购(SECREPO250630000557131)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190,011,429.99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24华电租赁ABN001优先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47,899,200.00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Z存放同业（线上）20241209003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9.1469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兴银理财添利天天利12号净值型理财产品2025年第二季度报告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051010100101630387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兴银理财添利天天利12号净值型理财产品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2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gridCol w:w="800"/>
              <w:gridCol w:w="2400"/>
              <w:gridCol w:w="1600"/>
              <w:gridCol w:w="1600"/>
              <w:gridCol w:w="1200"/>
              <w:gridCol w:w="1400"/>
              <w:gridCol w:w="1200"/>
            </w:tblGrid>
            <w:tr>
              <w:tblPrEx>
                <w:tblCellMar>
                  <w:top w:w="0" w:type="dxa"/>
                  <w:left w:w="10" w:type="dxa"/>
                  <w:bottom w:w="0" w:type="dxa"/>
                  <w:right w:w="10" w:type="dxa"/>
                </w:tblCellMar>
              </w:tblPrEx>
              <w:trPr>
                <w:trHeight w:val="600" w:hRule="exact"/>
              </w:trPr>
              <w:tc>
                <w:tcPr>
                  <w:vMerge w:val="restart"/>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rPr>
                      <w:trHeight w:val="1200" w:hRule="atLeast"/>
                    </w:trPr>
                    <w:tc>
                      <w:tcPr>
                        <w:tcBorders>
                          <w:top w:val="single" w:color="000000" w:sz="4" w:space="0"/>
                          <w:left w:val="single" w:color="000000" w:sz="4" w:space="0"/>
                          <w:right w:val="single" w:color="000000" w:sz="4" w:space="0"/>
                        </w:tcBorders>
                        <w:tcMar>
                          <w:top w:w="0" w:type="dxa"/>
                          <w:left w:w="2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投资者类别</w:t>
                        </w:r>
                      </w:p>
                    </w:tc>
                  </w:tr>
                </w:tbl>
                <w:p>
                  <w:pPr>
                    <w:pStyle w:val="4"/>
                    <w:rPr>
                      <w:rFonts w:hint="eastAsia" w:ascii="微软雅黑" w:hAnsi="微软雅黑" w:eastAsia="微软雅黑" w:cs="微软雅黑"/>
                    </w:rPr>
                  </w:pPr>
                </w:p>
              </w:tc>
              <w:tc>
                <w:tcPr>
                  <w:gridSpan w:val="5"/>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7600"/>
                  </w:tblGrid>
                  <w:tr>
                    <w:tblPrEx>
                      <w:tblCellMar>
                        <w:top w:w="0" w:type="dxa"/>
                        <w:left w:w="10" w:type="dxa"/>
                        <w:bottom w:w="0" w:type="dxa"/>
                        <w:right w:w="10" w:type="dxa"/>
                      </w:tblCellMar>
                    </w:tblPrEx>
                    <w:trPr>
                      <w:trHeight w:val="600" w:hRule="atLeast"/>
                    </w:trPr>
                    <w:tc>
                      <w:tcPr>
                        <w:tcBorders>
                          <w:top w:val="single" w:color="000000"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报告期内持有产品份额变化情况</w:t>
                        </w:r>
                      </w:p>
                    </w:tc>
                  </w:tr>
                </w:tbl>
                <w:p>
                  <w:pPr>
                    <w:pStyle w:val="4"/>
                    <w:rPr>
                      <w:rFonts w:hint="eastAsia" w:ascii="微软雅黑" w:hAnsi="微软雅黑" w:eastAsia="微软雅黑" w:cs="微软雅黑"/>
                    </w:rPr>
                  </w:pPr>
                </w:p>
              </w:tc>
              <w:tc>
                <w:tcPr>
                  <w:gridSpan w:val="2"/>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报告期末持有份额情况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vMerge w:val="continue"/>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持有份额比例达到或者超过20%的时间区间</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期初份额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申购份额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赎回份额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持有份额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份额占比（%）</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机构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20250101-20250630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1,523,984,858.58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6,641,829.45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1,530,547,024.20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Borders>
                          <w:top w:val="single" w:color="000000" w:sz="8" w:space="0"/>
                          <w:left w:val="single" w:color="000000" w:sz="4" w:space="0"/>
                          <w:bottom w:val="single" w:color="000000" w:sz="4" w:space="0"/>
                        </w:tcBorders>
                        <w:tcMar>
                          <w:top w:w="0" w:type="dxa"/>
                          <w:left w:w="2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产品特有风险</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1800" w:hRule="atLeast"/>
                    </w:trPr>
                    <w:tc>
                      <w:tcPr>
                        <w:tcBorders>
                          <w:left w:val="single" w:color="000000" w:sz="8" w:space="0"/>
                          <w:bottom w:val="single" w:color="000000" w:sz="8" w:space="0"/>
                        </w:tcBorders>
                        <w:tcMar>
                          <w:top w:w="0" w:type="dxa"/>
                          <w:left w:w="2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bookmarkStart w:id="9" w:name="_GoBack"/>
                        <w:bookmarkEnd w:id="9"/>
                        <w:r>
                          <w:rPr>
                            <w:rFonts w:hint="eastAsia" w:ascii="微软雅黑" w:hAnsi="微软雅黑" w:eastAsia="微软雅黑" w:cs="微软雅黑"/>
                            <w:color w:val="000000"/>
                            <w:sz w:val="21"/>
                          </w:rPr>
                          <w:t>本产品在报告期内存在单一投资者持有理财份额比例达到或者超过产品总份额20%的情形，在市场流动性不足的情况下，如遇投资者巨额赎回或集中赎回，管理人可能无法以合理的价格及时变现理财资产，有可能对理财产品收益产生一定的影响，甚至可能引发理财的流动性风险。</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54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2A3417C7"/>
    <w:rsid w:val="5243563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2025-07-11T15:34:00Z</dcterms:created>
  <dc:creator>wujiaqi1</dc:creator>
  <cp:lastModifiedBy>wujiaqi1</cp:lastModifiedBy>
  <dcterms:modified xsi:type="dcterms:W3CDTF">2025-07-14T05:40:38Z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