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3,633,812,828.7份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1,790,170,638.59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816,818,030.24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683,178,334.64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5,448,044.07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兴银添利天天利11号U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9TTL011U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16,765,273.66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兴银理财添利天天利11号W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9TTL011W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50,094,010.96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兴银添利天天利11号Y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9TTL011Y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271,338,496.54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业绩比较基准（9TTL011A）：人民银行7天通知存款利率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业绩比较基准（9TTL011T）：人民银行7天通知存款利率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业绩比较基准（9TTL011U）：人民银行7天通知存款利率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业绩比较基准（9TTL011W）：人民银行7天通知存款利率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业绩比较基准（9TTL011Y）：人民银行7天通知存款利率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（2）兴银理财添利天天利11号净值型理财产品成立于2023年06月02日，数据截止至2025年06月30日。过往业绩是由兴银理财有限责任公司计算并确认后所提供的数据。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3,633,812,828.70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1,790,170,638.59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816,818,030.24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683,178,334.64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5,448,044.07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16,765,273.66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50,094,010.96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9TTL011Y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271,338,496.54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7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w:t>
            </w:r>
            <w:bookmarkStart w:id="9" w:name="_GoBack"/>
            <w:bookmarkEnd w:id="9"/>
            <w:r>
              <w:rPr>
                <w:rFonts w:hint="eastAsia" w:ascii="微软雅黑" w:hAnsi="微软雅黑" w:eastAsia="微软雅黑" w:cs="微软雅黑"/>
                <w:color w:val="000000"/>
                <w:sz w:val="21"/>
              </w:rPr>
              <w:t>曲线走陡。交易强化下信用利差和期限利差相应压缩。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372,766,875.00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302,407,583.91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202,056,889.12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201,376,667.06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190,008,717.63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106,254,400.00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Z存放同业（线上）20250311012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100,665,777.28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Z存放同业（线上）20250310005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100,659,166.29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25华泰G7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100,589,534.25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100,024,510.56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25京能2号ABN002优先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25徐工机械ABN001优先A1(科创票据)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22苏豪MTN001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20川交投MTN001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23国新租赁MTN001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926158D"/>
    <w:rsid w:val="6D5E5E00"/>
    <w:rsid w:val="6F136F37"/>
    <w:rsid w:val="741F2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2025-07-14T06:01:22Z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