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兴银理财添利天天利4号净值型理财产品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9TTL0040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Z7002023000399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3,627,413,016.13份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2,058,619,560.80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25,639,637.07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44,956,487.10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105,763,962.91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114,185,640.11</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兴银添利天天利4号F（私行尊享）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38,784,269.79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143,687,785.10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98,409,056.87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130,237,684.45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兴银添利天天利4号J（私行专属）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1,972,327.25</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21,798,112.54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9,936,367.35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274,721,750.65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8,793,964.75</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24,355,291.32</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23,111,931.28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9TTL004Y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292,445,497.56</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兴银添利天天利4号（私银专属）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9TTL104G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209,993,687.58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9TTL104G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业绩比较基准（9TTL004A）：人民银行7天通知存款利率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业绩比较基准（9TTL004M）：人民银行7天通知存款利率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9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业绩比较基准（9TTL004N）：人民银行7天通知存款利率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业绩比较基准（9TTL004Y）：人民银行7天通知存款利率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业绩比较基准（9TTL104G）：人民银行7天通知存款利率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（2）兴银理财添利天天利4号净值型理财产品成立于2023年06月02日，数据截止至2025年06月30日。过往业绩是由兴银理财有限责任公司计算并确认后所提供的数据。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3,627,413,016.13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2,058,619,560.80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25,639,637.07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44,956,487.10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105,763,962.91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114,185,640.11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38,784,269.79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143,687,785.10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98,409,056.87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130,237,684.45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1,972,327.25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21,798,112.54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9,936,367.35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274,721,750.65</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8,793,964.75</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24,355,291.32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23,111,931.28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9TTL004Y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292,445,497.56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9TTL104G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209,993,687.58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4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组合整体维持偏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极</w:t>
            </w:r>
            <w:bookmarkStart w:id="10" w:name="_GoBack"/>
            <w:bookmarkEnd w:id="10"/>
            <w:r>
              <w:rPr>
                <w:rFonts w:hint="eastAsia" w:ascii="微软雅黑" w:hAnsi="微软雅黑" w:eastAsia="微软雅黑" w:cs="微软雅黑"/>
                <w:color w:val="000000"/>
                <w:sz w:val="21"/>
              </w:rPr>
              <w:t>的久期，具备套息空间时运用杠杆策略增厚。配置盘为主保证静态收益，动态调整组合久期保持收益弹性。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20.31</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17.37</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401,300,000.00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300,016,995.50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292,209,852.40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24上海农商银行CD064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270,034,195.14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196,035,795.83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质押式逆回购(11PF243293-N-07-20250630-206007-SH)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180,220,706.02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20常城04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134,896,718.92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Z存放同业（线上）20241021005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131,818,085.83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24国元证券CP013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121,795,134.43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24招S27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121,676,712.32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22苏豪MTN001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24中粮SCP004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24兴湘投资CP001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051010100101629137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F1A72A9"/>
    <w:rsid w:val="38B22F29"/>
    <w:rsid w:val="48913B76"/>
    <w:rsid w:val="79DF29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2025-07-11T15:33:00Z</dcterms:created>
  <dc:creator>wujiaqi1</dc:creator>
  <cp:lastModifiedBy>liuke2</cp:lastModifiedBy>
  <dcterms:modified xsi:type="dcterms:W3CDTF">2025-07-14T09:35:35Z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