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兴银理财丰利悦动6个</w:t>
            </w:r>
            <w:bookmarkStart w:id="8" w:name="_GoBack"/>
            <w:bookmarkEnd w:id="8"/>
            <w:r>
              <w:rPr>
                <w:rFonts w:hint="eastAsia" w:ascii="微软雅黑" w:hAnsi="微软雅黑" w:eastAsia="微软雅黑" w:cs="微软雅黑"/>
                <w:b/>
                <w:color w:val="000000"/>
                <w:sz w:val="32"/>
              </w:rPr>
              <w:t>月最短持有期日开3号固收类理财产品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兴银理财丰利悦动6个月最短持有期日开3号固收类理财产品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9T360030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1,227,517,083.76份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丰利悦动6M持有期3号A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9T36003A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505,964,805.14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丰利悦动6M持有期3号B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9T36003B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527,060,550.96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丰利悦动6M持有期3号C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9T36003C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194,491,727.66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9T36003A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9T36003B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9T36003C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业绩比较基准（9T36003A）：2.00%--3.00%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业绩比较基准（9T36003B）：2.10%--3.10%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业绩比较基准（9T36003C）：2.00%--3.00%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（2）兴银理财丰利悦动6个月最短持有期日开3号固收类理财产品成立于2024年12月04日，数据截止至2025年06月30日。过往业绩是由兴银理财有限责任公司计算并确认后所提供的数据。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9T360030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1,262,268,563.03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9T36003A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519,793,806.99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9T36003B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542,401,690.14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9T36003C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200,073,065.90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债市先上后下，权益震荡向上。整体看，债市从4月美国对等关税出台后有快速下行，因市场担忧过于高企的关税影响经济发展，但两天下行接近20BP后，市场利率震荡回升。一是美国很快暂停除中国外的对等关税，显示关税是可谈判的，二是经过时间验证，4月出口受到的影响并不如想象的那么大。之后4月底5月初中美逐渐在关税上达成一致，利率逐渐上升到高点，即使降准降息也没有改变趋势。进入六月后，央行对债市的态度有一定的改变，呵护资金价格，同时，5月出口数据明显下滑，市场开始担忧经济的影响，利率逐步下行，整个季度基本处于宽幅震荡的格局。权益方面，在美对等关税出台前市场维持相对强势，但美对等关税超出预期，引发全球权益市场的暴跌，中国反制后中美关税都上升至100%以上。但之后TACO交易得到验证，本国通过降准降息和4月并没有受到很大影响的出口数据证明中国的韧性和底气。5月中美会谈后逐步缓和，市场开始呈现牛市特征，底部逐步抬升，成交量保持高位。本报告期内，本组合根据市场情况适当调整债券持仓，利用利率衍生品对冲久期风险。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35,125,452.95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20石国投MTN002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31,161,892.60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22南湖投资PPN002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30,869,312.05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22丽水城投PPN002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30,725,465.34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25金龙鱼SCP001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30,232,420.27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30,227,461.64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25泰州城投PPN001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30,129,026.71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25浪潮电子SCP004(科创债)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30,052,983.70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24昆山创业SCP007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25,301,288.70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23中盐MTN001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20,565,212.05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25夏商SCP010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20石国投MTN002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25浙国贸SCP001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25金龙鱼SCP001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24咸阳城发CP001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23成都高新PPN001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25浙江建投SCP001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25浪潮电子SCP004(科创债)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23河钢集MTN013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22通商租赁MTN002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兴银理财丰利悦动6个月最短持有期日开3号固收类理财产品2025年第二季度报告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兴银理财丰利悦动6个月最短持有期日开3号固收类理财产品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051010100102058505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兴银理财丰利悦动6个月最短持有期日开3号固收类理财产品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C374E1"/>
    <w:rsid w:val="2A5712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2025-07-11T15:33:00Z</dcterms:created>
  <dc:creator>893720</dc:creator>
  <cp:lastModifiedBy>893720</cp:lastModifiedBy>
  <dcterms:modified xsi:type="dcterms:W3CDTF">2025-07-14T02:49:24Z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