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兴银理财汇利稳健一年封闭式158期固收类理财产品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7" w:name="_GoBack"/>
            <w:bookmarkEnd w:id="7"/>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兴银理财汇利稳健一年封闭式158期固收类理财产品2025年第二季度报告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兴银理财汇利稳健一年封闭式158期固收类理财产品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9S1Y1580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Z7002024003235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67,648,712.14份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美元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汇利稳健一年封闭式158期A（纯享款）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汇利稳健一年封闭式158期现汇B（纯享款）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8,206,582.06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汇利稳健一年封闭式158期现钞C（纯享款）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1,146,423.48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汇利稳健一年封闭式158期现汇D（纯享款）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3,015,208.37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汇利稳健一年封闭式158期现汇E（纯享款）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8,818,003.23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汇利稳健一年封闭式158期现钞F（纯享款）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9S1Y158F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汇利稳健一年封闭式158期现汇G（纯享款）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462,495.00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业绩比较基准（9S1Y158A）：3.60%--3.80%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业绩比较基准（9S1Y158B）：3.53%--3.73%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业绩比较基准（9S1Y158C）：3.53%--3.73%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业绩比较基准（9S1Y158D）：3.65%--3.85%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业绩比较基准（9S1Y158E）：3.60%--3.80%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业绩比较基准（9S1Y158F）：3.60%--3.80%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业绩比较基准（9S1Y158G）：3.60%--3.80%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（2）兴银理财汇利稳健一年封闭式158期固收类理财产品成立于2025年03月13日，数据截止至2025年06月30日。过往业绩是由兴银理财有限责任公司计算并确认后所提供的数据。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68,422,048.56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45,515,451.18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8,298,825.19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1,159,309.43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3,050,207.65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8,919,008.69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1,011,454.44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467,791.98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玉杰女士，中央财经大学硕士，具有5年外币债券自营投资和3年跨境资管投资经历。曾就职于中国工商银行股份有限公司金融市场部，工银奥地利，施罗德交银理财跨境业务团队。对银行资产负债管理、外币流动性管理、外币债券投资组合等具有丰富实际操作经验。2024年7月加入兴银理财有限责任公司，擅长研究海内外宏观货币财政政策、收益率曲线波动、发行人信用利差变化，结合市场趋势变动挖掘投资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月初美国市场在关税扰动下，美国市场由衰退交易反转为关税恐慌交易，解放日关税政策公布后美元指数持续走低，截至二季度末下破97达到三年内低位。在股债汇三杀下，美元信用及美元资产信心减弱，之后因美国衰退情形需数月验证且关税缓和，美债在被抛售后企稳但中间突破4.6%，而对等关税后首个硬数据4月非农强于预期，降息预期从6月推迟至7月，在外部环境波动偏高与经济数据韧性不断需待检验的情况下，关税对通胀读数的影响也会加大波动，因此二季度主要策略以短端择机交易为主，整体而言二季度短端债券表现好于长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Z外币存放（线上）20250313004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68,446,657.67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216201400100329481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兴银理财汇利稳健一年封闭式158期固收类理财产品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1891F5B"/>
    <w:rsid w:val="79E955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2025-07-11T15:27:00Z</dcterms:created>
  <dc:creator>wot_wanglinbo_zy</dc:creator>
  <cp:lastModifiedBy>wot_wanglinbo_zy</cp:lastModifiedBy>
  <dcterms:modified xsi:type="dcterms:W3CDTF">2025-07-14T06:32:44Z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