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w:t>
            </w:r>
            <w:bookmarkStart w:id="8" w:name="_GoBack"/>
            <w:bookmarkEnd w:id="8"/>
            <w:r>
              <w:rPr>
                <w:rFonts w:hint="eastAsia" w:ascii="微软雅黑" w:hAnsi="微软雅黑" w:eastAsia="微软雅黑" w:cs="微软雅黑"/>
                <w:b/>
                <w:color w:val="000000"/>
                <w:sz w:val="32"/>
              </w:rPr>
              <w:t>24期固收类理财产品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460,592,411.75份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稳利恒盈封闭2024年324期13M(纯盈颐养款)A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457,800,511.75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稳利恒盈封闭2024年324期13M(纯盈颐养款)B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2,791,900.00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业绩比较基准（9N24324A）：2.70%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业绩比较基准（9N24324B）：2.75%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（2）兴银理财稳利恒盈封闭式2024年324期固收类理财产品成立于2024年09月11日，数据截止至2025年06月30日。过往业绩是由兴银理财有限责任公司计算并确认后所提供的数据。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471,307,159.08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468,449,191.20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2,857,967.88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爱建金渠-至信吉山国资2号集合资金信托计划合同（南京分行南京吉山国有资产运营集团有限公司）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41,035,649.89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39,993,861.15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39,993,861.15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35,928,067.44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渤海信托.2024宁石38号集合资金信托计划（株洲市公用事业集团有限公司）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30,030,712.09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20,034,859.17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豪威集团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15,495,653.38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12,766,772.28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10,606,726.29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东方盛虹</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10,209,645.04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渤海信托.2024宁石38号集合资金信托计划（株洲市公用事业集团有限公司）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株洲市公用事业集团有限公司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爱建金渠-至信吉山国资2号集合资金信托计划合同（南京分行南京吉山国有资产运营集团有限公司）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南京吉山国有资产运营集团有限公司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051010100101993303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A1202B6"/>
    <w:rsid w:val="713105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