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杭银理财幸福99添益（安享优选）7天持有期理财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杭银理财幸福99添益（安享优选）7天持有期理财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TYGC7D2302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Z7002223000157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2023年7月6日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22,017,618,605.81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103.07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22,017,618,605.81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20,958,647,442.56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1.050526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1.050526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1.047290</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1.047290</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3,522,841,638.12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1.049272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1.049272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597,127,351.31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1.049486</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1.049486</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3,777,835,458.00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添益私银尊享7天持有D</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1.050328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1.050328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816,373,806.95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1.047892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1.047892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1,125,768,043.39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1.045679</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1.045679</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539,247,714.79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1.053681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1.053681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4,002,090,519.85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1.047418</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1.047418</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131,986,211.76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1.050627</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1.050627</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127,812,715.26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添益7天持有期Z款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TYGC7D2302Z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1.051842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1.051842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7,376,535,146.38</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1.83</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1.84</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1.72</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2.03</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2.38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1.92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1.93</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2.12</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2.48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1.83</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1.72</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2.03</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2.49</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添益私银尊享7天持有D</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1.98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2.17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2.53</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1.68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2.04</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2.41</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1.73</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1.74</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1.61</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1.93</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2.30</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2.41</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2.41</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2.28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2.60</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2.70</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1.83</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1.83</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1.37</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1.94</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2.38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2.17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2.18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2.07</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2.25</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2.54</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添益7天持有期Z款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2.22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2.26</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2.14</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2.42</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2.61</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上半年，先受到DEEPSEEK提振全球科技板块风险偏好，4月初对等关税战的影响，全球权益市场大幅调整，但在关税战情绪逐步缓解后，呈现稳步反弹走势，收付所有关税战失地。红利类资产在股息率的相对优势下持续吸引配置资金，国际定价的有色金属在国际金属价格大涨的情况下表现良好，关税战影响较小且产业趋势处于初步渗透期的医药板块也取得了良好收益，科技板块在关税影响下波动很大、贡献了弹性收益。本产品根据投资范围精选可投品种，净值稳定。</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展望三季度，8月初为欧美、中美关税谈判截止时间，外部不确定影响在2季度中段缓和后又开始放大。权益市场在经历2季度的触底反弹后已处于前高或前高附近，后续进一步的全面上涨需要较强的政策刺激、外部局势缓和或出现确定性很强的大产业链条，在经济转型期内可能需要更长时间来验证。本产品将根据自身投资范围继续挖掘各类资产的确定性机会，从组合管理的角度去寻求性价比更高的投资机会，为客户持续创造稳健收益。</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14.16</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39.99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5.66</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4.58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6.81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5.99</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33.95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12.19</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11.48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57.42</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存放同业 南京银行股份有限公司 1.74 2025/06/04 4173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801,044,000.00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存放同业 华夏银行股份有限公司 2.06 2025/02/24 4139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503,633,610.97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存放同业 华夏银行股份有限公司 2.00 2025/02/21 4137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503,611,111.40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他行存款(XT2024-000296)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467,661,243.74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他行存款(XT2024-000069)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397,486,456.50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他行存款(021316-000458)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387,003,434.29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他行存款(021316-000056)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348,672,365.26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存放同业 上海银行股份有限公司 2.05 2025/03/13 4160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301,879,166.67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他行存款(021316-000055)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290,537,092.66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他行存款(021316-000323)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290,165,573.90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1.32</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620,056,147.95</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2.82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25,429,910,241.59</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20,958,647,442.56</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751A16">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22桐庐国运PPN001</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20,608,480.00</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杭银理财幸福99添益（安享优选）7天持有期理财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3301040160015309811-692302</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