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杭银理财幸福99丰裕固收（混合估值）两年23135期理财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杭银理财幸福99丰裕固收（混合估值）两年23135期理财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FYG23135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Z7002223000172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2023年7月27日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2025年8月28日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4.00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205,314,522.05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100.87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205,314,522.05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190,317,446.00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1.0788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1.0788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丰裕固收23135期A款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FYG23135A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1.0781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1.0781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132,281,985.39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丰裕固收23135期D款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FYG23135D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1.0801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1.0801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73,032,536.66</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丰裕固收23135期A款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3.62</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3.75</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3.85</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4.05</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丰裕固收23135期D款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3.84</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3.90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3.85</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3.96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4.15</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策略为主，继续保持杠杆。</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2.46</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2.67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33.15</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45.21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44.32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7.44</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56.95</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华鑫信托·宁波奉化锦胜信托贷款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43,040,408.10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20.96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中信信托·宁波象山交通信托贷款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35,041,735.35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17.07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23嘉善经开PPN001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15,775,200.00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华夏纯债债券型证券投资基金A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15,407,109.27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23中信银行绿色金融债01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15,263,671.23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中信信托·肇庆新区信托贷款-2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14,023,741.00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23泰山G1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10,667,113.43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23沛县城投PPN007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10,367,579.47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23胶州城投MTN003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10,361,273.34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23沛县城投PPN006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6,225,175.77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3.03</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宁波市奉化区锦胜开发建设有限公司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华鑫信托·宁波奉化锦胜信托贷款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2025-08-26</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43,040,408.10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宁波象山交通开发建设集团有限公司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中信信托·宁波象山交通信托贷款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2025-08-27</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35,041,735.35</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肇庆新区投资发展有限公司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中信信托·肇庆新区信托贷款-2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14,023,741.00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190,317,446.00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190,317,446.00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杭银理财幸福99丰裕固收23135期理财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3301040160015309811-5123135</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