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杭银理财幸福99丰裕固收（混合估值）763天23146期理财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杭银理财幸福99丰裕固收（混合估值）763天23146期理财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FYG23146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Z7002223000185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2023年8月10日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4.00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204,964,559.78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115.44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204,964,559.78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189,489,000.00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1.0817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1.0817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丰裕固收23146期A款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FYG23146A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1.0810</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1.0810</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130,720,977.10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丰裕固收23146期B款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FYG23146B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1.0829</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1.0829</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74,243,582.68</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丰裕固收23146期A款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3.84</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3.98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4.00</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4.09</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4.28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丰裕固收23146期B款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3.83</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4.05</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4.09</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4.19</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4.39</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策略为主，继续保持杠杆。</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0.60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22.40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58.58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58.58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18.42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18.42</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质押式逆回购(000695)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53,007,405.47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25.86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中信信托·肇庆新区信托贷款-2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43,573,766.60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20桐庐02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17,761,975.85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8.67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20宁滨01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16,793,088.89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22双江01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16,660,177.69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22东港01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16,511,659.66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8.06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22义水01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16,504,721.84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22新会01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16,447,755.77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23济南高新MTN003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15,801,371.10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21迈瑞05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11,656,674.81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5.69</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26,607,579.16</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12.98</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肇庆新区投资发展有限公司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中信信托·肇庆新区信托贷款-2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43,573,766.60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189,489,000.00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189,489,000.00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杭银理财幸福99丰裕固收23146期理财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3301040160015309811-5123146</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