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杭银理财幸福99丰裕固收（混合估值）749天23129期理财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杭银理财幸福99丰裕固收（混合估值）749天23129期理财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FYG23129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Z7002223000165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2023年7月20日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2025年8月7日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4.00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327,657,842.35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101.16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327,657,842.35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303,451,230.00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1.0798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1.0798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丰裕固收23129期A款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FYG23129A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1.0795</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1.0795</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275,008,010.59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丰裕固收23129期D款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FYG23129D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1.0814</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1.0814</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52,649,831.76</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丰裕固收23129期A款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3.62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3.72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3.71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3.82</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4.08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丰裕固收23129期D款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3.50</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3.91</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4.18</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策略为主，继续保持杠杆。</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0.84</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13.88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13.88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72.08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72.08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13.20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质押式逆回购(000703)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46,006,427.40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23金华金开01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43,748,537.10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23沛县城投PPN006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31,124,650.33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23德达城建MTN003A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25,895,513.58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23中信银行绿色金融债01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25,439,452.05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23香城投资MTN001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20,568,977.26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23红谷滩PPN001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20,446,792.05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24即墨旅投PPN002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20,331,957.26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23济南高新MTN003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15,801,371.10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23沛县城投PPN007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12,441,095.36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3.80</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23金华金开01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2025-07-02</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43,748,537.10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其他（理财直融工具）</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每年付息，到期一次还本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303,451,230.00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303,451,230.00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杭银理财幸福99丰裕固收23129期理财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3301040160015309811-5123129</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