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幸福99丰裕固收386天24207期理财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幸福99丰裕固收386天24207期理财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FYG24207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Z7002224000256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2024年8月27日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2025年9月17日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2,328,527,882.32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100.46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2,328,527,882.32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2,268,981,895.00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1.0262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1.0262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580,985,397.51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1.0276</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1.0276</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189,255,232.57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231,296,765.42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1.0280</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1.0280</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115,571,970.66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1,117,828,747.72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93,589,768.44</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3.28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3.19</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3.33</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3.33</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3.19</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上半年以来，受资金面阶段性收紧、政府债供给放量及降息预期修正影响，一季度债券收益率小幅上行，二季度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相较于一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去年末下行2.5bp，1年期国股存单收益率1.63%，较去年末上行5bp，3年期AA+城投债收益率1.90%，较去年末下行1bp，3年期AAA银行二级资本债收益率1.83%，较去年末上行8bp。本产品主要配置固收类资产，债券部分以信用债为主，久期适中偏短，受到二季度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0.81</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36.30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42.56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47.04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1.51</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1.92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0.98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60.40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中原信托·温州瓯海城投信托贷款（鹏元6期第1号）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499,490,225.90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百瑞恒益1525号集合资金信托计划（瑞杭1号）-丽水经开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399,457,967.73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21工商银行二级02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158,081,224.74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147,152,030.63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21建设银行二级01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116,812,451.23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22扬旅01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103,149,863.04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21中国银行二级03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57,596,992.26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22常高新PPN003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51,514,621.23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24奉投01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50,895,400.78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24吴控01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41,130,248.77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1.77</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中原财富-鹏元5期-固定收益组合投资系列 集合资金信托计划第【3】号信托单元-丽水南城</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34,035,773.70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百瑞恒益1525号集合资金信托计划（瑞杭1号）-丽水经开</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2025-09-15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399,457,967.73</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宁波宁南新城开发投资有限公司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中原信托·宁波宁南开投信托贷款（鹏元2期第4号）</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1,000,750.90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平安信托·启元四十三号-临平城建信托贷款-3</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2025-09-15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147,152,030.63</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浙江瓯海城市建设投资集团有限公司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中原信托·温州瓯海城投信托贷款（鹏元6期第1号）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2025-09-15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499,490,225.90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上海信托·绍兴滨海信托计划-2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2025-09-04</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20,021,107.34</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2,268,981,895.00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2,268,981,895.00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751A16">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美元</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外汇</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500,498.37</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杭银理财幸福99丰裕固收386天24207期理财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3301040160015309811-5124207</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