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幸福99丰裕固收386天24188期理财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幸福99丰裕固收386天24188期理财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FYG24188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Z7002224000232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2024年7月30日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2025年8月20日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1,202,646,928.33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100.47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1,202,646,928.33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1,169,726,656.00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1.0281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1.0281</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183,568,901.97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1.0291</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1.0291</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77,923,510.18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72,453,587.31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1.0286</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1.0286</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2,941,870.19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824,010,025.94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丰裕固收24188期F款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FYG24188F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1.0291</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1.0291</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41,749,032.74</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2.96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3.17</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3.07</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3.12</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3.07</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丰裕固收24188期F款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3.17</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上半年以来，受资金面阶段性收紧、政府债供给放量及降息预期修正影响，一季度债券收益率小幅上行，二季度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相较于一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去年末下行2.5bp，1年期国股存单收益率1.63%，较去年末上行5bp，3年期AA+城投债收益率1.90%，较去年末下行1bp，3年期AAA银行二级资本债收益率1.83%，较去年末上行8bp。本产品主要配置固收类资产，债券部分以信用债为主，久期适中偏短，受到二季度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2.81</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3.03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0.13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35.12</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39.14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46.86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1.70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9.15</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51.21</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上海信托·扬州广合信托贷款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182,231,781.02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粤财信托·常华63号海宁尖山新区信托贷款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135,319,427.21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11.25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百瑞信托·恒益1543号（瑞杭2号）-先行控股信托贷款-1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133,119,493.16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24工行TLAC非资本债01A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101,127,097.26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平安如意中短债债券型证券投资基金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80,606,688.62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6.70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上海信托·宁波海江投资信托贷款-2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50,051,923.08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23嘉善经开PPN001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42,067,200.00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21梁溪经发PPN002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41,286,357.26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上海信托·宁波奉化区投2号信托计划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41,048,404.36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22迪荡新投MTN002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40,084,656.99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3.33</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上海信托·宁波奉化区投2号信托计划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2025-08-12</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41,048,404.36</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上海信托·宁波海江投资信托贷款-2</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50,051,923.08</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扬州广合国有资本运营集团有限公司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上海信托·扬州广合信托贷款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2025-07-31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182,231,781.02</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平安信托·启元二十五号-之江城投信托贷款-6</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2025-08-11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25,027,780.00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江苏先行控股集团有限公司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百瑞信托·恒益1543号（瑞杭2号）-先行控股信托贷款-1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2025-08-11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133,119,493.16</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海宁市尖山新区开发有限公司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粤财信托·常华63号海宁尖山新区信托贷款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2025-08-18</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135,319,427.21</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1,169,726,656.00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1,169,726,656.00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杭银理财幸福99丰裕固收386天24188期理财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3301040160015309811-5124188</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