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天天万利宝稳利2号净值型理财产品K款2025年第一季度报告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天天万利宝稳利2号净值型理财产品K款</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天天万利宝稳利2号净值型理财产品K款2025年第一季度报告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天天万利宝稳利2号净值型理财产品K款2025年第一季度报告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天天万利宝稳利2号净值型理财产品K款</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9K218028</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Z7002020000028</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2,041,672,997.07份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8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稳利恒盈K 6个月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9K218028（适用【A】份额）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2,034,072,616.77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稳利恒盈K 6个月B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9K218128</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7,600,380.30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wAfter w:w="20" w:type="dxa"/>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天天万利宝稳利2号净值型理财产品K款2025年第一季度报告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2024年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2023年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2022年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2021年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2020年</w:t>
                        </w:r>
                        <w:r>
                          <w:rPr>
                            <w:rFonts w:ascii="宋体" w:hAnsi="宋体" w:eastAsia="宋体" w:cs="宋体"/>
                            <w:b/>
                            <w:color w:val="000000"/>
                            <w:sz w:val="21"/>
                          </w:rPr>
                          <w:br w:type="textWrapping"/>
                        </w:r>
                        <w:r>
                          <w:rPr>
                            <w:rFonts w:ascii="宋体" w:hAnsi="宋体" w:eastAsia="宋体" w:cs="宋体"/>
                            <w:b/>
                            <w:color w:val="000000"/>
                            <w:sz w:val="21"/>
                          </w:rPr>
                          <w:t>年化收益(%)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9K218028（适用【A】份额）</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9K218128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业绩比较基准（9K218028（适用【A】份额））：1.70%--2.70%</w:t>
            </w:r>
            <w:r>
              <w:rPr>
                <w:rFonts w:ascii="宋体" w:hAnsi="宋体" w:eastAsia="宋体" w:cs="宋体"/>
                <w:color w:val="000000"/>
                <w:sz w:val="21"/>
              </w:rPr>
              <w:br w:type="textWrapping"/>
            </w:r>
            <w:r>
              <w:rPr>
                <w:rFonts w:ascii="宋体" w:hAnsi="宋体" w:eastAsia="宋体" w:cs="宋体"/>
                <w:color w:val="000000"/>
                <w:sz w:val="21"/>
              </w:rPr>
              <w:t>业绩比较基准（9K218128）：1.60%--2.60%</w:t>
            </w: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（2）天天万利宝稳利2号净值型理财产品K款成立于2018年12月25日，数据截止至2025年03月31日。过往业绩是由兴银理财有限责任公司计算并确认后所提供的数据。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9K218028</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1.00526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1.21022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2,052,406,132.70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9K218028（适用【A】份额）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1.00526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1.21022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2,044,767,983.36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9K218128</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1.00497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1.03011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7,638,149.34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彭岩女士，上海交通大学管理科学硕士，3年以上债券投资交易经验。2019年加入兴业银行资产管理事业部，现任兴银理财固定收益投资经理，主要负责债券投资和固收组合管理工作。专注自上而下的大类资产配置，投资风格稳健，交易能力较强。</w:t>
            </w:r>
          </w:p>
        </w:tc>
        <w:tc>
          <w:tcPr>
            <w:gridSpan w:val="4"/>
          </w:tcPr>
          <w:p>
            <w:pPr>
              <w:pStyle w:val="4"/>
            </w:pPr>
          </w:p>
        </w:tc>
        <w:tc>
          <w:p>
            <w:pPr>
              <w:pStyle w:val="4"/>
            </w:pPr>
          </w:p>
        </w:tc>
      </w:tr>
      <w:tr>
        <w:tblPrEx>
          <w:tblCellMar>
            <w:top w:w="0" w:type="dxa"/>
            <w:left w:w="10" w:type="dxa"/>
            <w:bottom w:w="0" w:type="dxa"/>
            <w:right w:w="10" w:type="dxa"/>
          </w:tblCellMar>
        </w:tblPrEx>
        <w:trPr>
          <w:trHeight w:val="665"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天天万利宝稳利2号净值型理财产品K款2025年第一季度报告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86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一、2025年一季度投资策略与运作回顾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一季度债券受到央行持续收紧资金面以及暂停买入国债的影响，同时叠加经济基本面数据有所好转，收益率大幅上行，至3月下旬收益率开始下行，市场情绪有所回暖，具体来看主要原因在于以下几点：</w:t>
            </w:r>
            <w:r>
              <w:rPr>
                <w:rFonts w:ascii="宋体" w:hAnsi="宋体" w:eastAsia="宋体" w:cs="宋体"/>
                <w:color w:val="000000"/>
                <w:sz w:val="21"/>
              </w:rPr>
              <w:br w:type="textWrapping"/>
            </w:r>
            <w:r>
              <w:rPr>
                <w:rFonts w:ascii="宋体" w:hAnsi="宋体" w:eastAsia="宋体" w:cs="宋体"/>
                <w:color w:val="000000"/>
                <w:sz w:val="21"/>
              </w:rPr>
              <w:t xml:space="preserve">    一月初：2024年末对于降息降准的提早预期，透支了太多利率下行空间，交易情绪过热导致央行多次窗口指导金融机构暂停买入超长期国债；同时1月央行工作会议也提出坚决防范汇率风险的要求。因此基于稳汇率和修复收益率曲线的需要，央行对于资金的投放以及表态均弱于市场预期。</w:t>
            </w:r>
            <w:r>
              <w:rPr>
                <w:rFonts w:ascii="宋体" w:hAnsi="宋体" w:eastAsia="宋体" w:cs="宋体"/>
                <w:color w:val="000000"/>
                <w:sz w:val="21"/>
              </w:rPr>
              <w:br w:type="textWrapping"/>
            </w:r>
            <w:r>
              <w:rPr>
                <w:rFonts w:ascii="宋体" w:hAnsi="宋体" w:eastAsia="宋体" w:cs="宋体"/>
                <w:color w:val="000000"/>
                <w:sz w:val="21"/>
              </w:rPr>
              <w:t xml:space="preserve">    二月春节后：基本面有所复苏，CPI数据有所好转，居民消费整体回暖，叠加Deepseek横空出世引爆科技热点，使得权益市场重获信心，股债跷跷板效应显著，较大程度压制了债券收益率的下行，收益率宽幅震荡向上。10年国债最高触及1.89%，30年国债最高触及2.14%，NCD上行至2.0%以上。</w:t>
            </w:r>
            <w:r>
              <w:rPr>
                <w:rFonts w:ascii="宋体" w:hAnsi="宋体" w:eastAsia="宋体" w:cs="宋体"/>
                <w:color w:val="000000"/>
                <w:sz w:val="21"/>
              </w:rPr>
              <w:br w:type="textWrapping"/>
            </w:r>
            <w:r>
              <w:rPr>
                <w:rFonts w:ascii="宋体" w:hAnsi="宋体" w:eastAsia="宋体" w:cs="宋体"/>
                <w:color w:val="000000"/>
                <w:sz w:val="21"/>
              </w:rPr>
              <w:t xml:space="preserve">    三月下旬央行一季度货币政策委员会重提根据国内外经济金融形势和金融市场运行情况择机降准降息，后开展4500亿MLF操作，并改为“固定数量+多重价位中标”，同时叠加OMO连续净投放，资金面边际转松，平稳过度跨季，市场情绪有所回暖。</w:t>
            </w:r>
            <w:r>
              <w:rPr>
                <w:rFonts w:ascii="宋体" w:hAnsi="宋体" w:eastAsia="宋体" w:cs="宋体"/>
                <w:color w:val="000000"/>
                <w:sz w:val="21"/>
              </w:rPr>
              <w:br w:type="textWrapping"/>
            </w:r>
            <w:r>
              <w:rPr>
                <w:rFonts w:ascii="宋体" w:hAnsi="宋体" w:eastAsia="宋体" w:cs="宋体"/>
                <w:color w:val="000000"/>
                <w:sz w:val="21"/>
              </w:rPr>
              <w:t xml:space="preserve">    一季度整体来看，收益率方面1年NCD、1年国债、10年国债、30年国债、信用债3年AAA、3年AA+、5年AAA、5年AA+分别变动+33BP、+47BP、+21BP、+18BP、+34BP、+20bp、+33bp、+21bp; 信用利差方面3年AAA、3年AA+、5年AAA、5年AA+分别变动-11BP、-23BP、+7BP、-6BP。</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bookmarkStart w:id="8" w:name="_GoBack"/>
            <w:bookmarkEnd w:id="8"/>
            <w:r>
              <w:rPr>
                <w:rFonts w:ascii="宋体" w:hAnsi="宋体" w:eastAsia="宋体" w:cs="宋体"/>
                <w:color w:val="000000"/>
                <w:sz w:val="21"/>
              </w:rPr>
              <w:t>产品运作上，由于一季度资金面持续收紧，整体采取防守策略，产品逐步降低信用债的占比和久期，降低杠杆水平，逢收益率高点增加信用短债和同业存单的配置，参与利率债波段交易，提高组合流动性。</w:t>
            </w:r>
            <w:r>
              <w:rPr>
                <w:rFonts w:ascii="宋体" w:hAnsi="宋体" w:eastAsia="宋体" w:cs="宋体"/>
                <w:color w:val="000000"/>
                <w:sz w:val="21"/>
              </w:rPr>
              <w:br w:type="textWrapping"/>
            </w:r>
            <w:r>
              <w:rPr>
                <w:rFonts w:ascii="宋体" w:hAnsi="宋体" w:eastAsia="宋体" w:cs="宋体"/>
                <w:color w:val="000000"/>
                <w:sz w:val="21"/>
              </w:rPr>
              <w:br w:type="textWrapping"/>
            </w:r>
            <w:r>
              <w:rPr>
                <w:rFonts w:ascii="宋体" w:hAnsi="宋体" w:eastAsia="宋体" w:cs="宋体"/>
                <w:color w:val="000000"/>
                <w:sz w:val="21"/>
              </w:rPr>
              <w:t xml:space="preserve">    二、2025年二季度投资策略展望</w:t>
            </w:r>
            <w:r>
              <w:rPr>
                <w:rFonts w:ascii="宋体" w:hAnsi="宋体" w:eastAsia="宋体" w:cs="宋体"/>
                <w:color w:val="000000"/>
                <w:sz w:val="21"/>
              </w:rPr>
              <w:br w:type="textWrapping"/>
            </w:r>
            <w:r>
              <w:rPr>
                <w:rFonts w:ascii="宋体" w:hAnsi="宋体" w:eastAsia="宋体" w:cs="宋体"/>
                <w:color w:val="000000"/>
                <w:sz w:val="21"/>
              </w:rPr>
              <w:t xml:space="preserve">    二季度市场有可能复制往年基于基本面预期修正而给债券市场带来一定行情的逻辑，但由于3月经济数据可能不弱，市场对于基本面的分歧弥合仍然需要时间。从外部环境来看，美国的关税政策对于国内实体经济影响较大，且不排除继续加码的可能性，给实体经济增加了不确定性。同时，二季度预计将是政府债券发行高峰期，全面性的消费刺激和生育补贴政策可能也会尽快出台，以保障基本面企稳的持续性。货币政策预计会呈现支持性特点，降准和央行重启国债买卖政策有望逐步落地。</w:t>
            </w:r>
            <w:r>
              <w:rPr>
                <w:rFonts w:ascii="宋体" w:hAnsi="宋体" w:eastAsia="宋体" w:cs="宋体"/>
                <w:color w:val="000000"/>
                <w:sz w:val="21"/>
              </w:rPr>
              <w:br w:type="textWrapping"/>
            </w:r>
            <w:r>
              <w:rPr>
                <w:rFonts w:ascii="宋体" w:hAnsi="宋体" w:eastAsia="宋体" w:cs="宋体"/>
                <w:color w:val="000000"/>
                <w:sz w:val="21"/>
              </w:rPr>
              <w:t xml:space="preserve">    从策略上来看，一季度市场调整已较为充分，二季度总体进入阶段性配置窗口，重点关注同业存单以及中短期限信用债的配置机会，同时积极把握交易性行情以及波段操作机会，增厚组合收益。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34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天天万利宝稳利2号净值型理财产品K款2025年第一季度报告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15.38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15.45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9.87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12.15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18.50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18.52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11.15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16.92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33.72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33.72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8.14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36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Z存放同业20241219002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301,494,311.65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14.69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中信资管同业借款20241210004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232,011,886.99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11.30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华夏金租同业借款20250313002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200,134,044.42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9.75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信达金租同业借款20250352004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200,091,188.92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9.75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质押式逆回购(SECREPO250326000505095)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120,047,988.56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5.85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天天万利宝稳利2号净值型理财产品K款2025年第一季度报告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质押式逆回购(SECREPO250328000507929)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100,024,619.32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4.87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24上海银行CD242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98,583,734.79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4.80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24农业银行CD058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84,260,288.93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4.11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中信资管同业借款20241210001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60,525,140.00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2.95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质押式逆回购(SECREPO250328000508026)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50,013,205.68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306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中信资管同业借款20241210001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中国中信金融资产管理股份有限公司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信达金租同业借款20250352004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信达金融租赁股份有限公司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华夏金租同业借款20250313002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华夏金融租赁有限公司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中信资管同业借款20241210004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中国中信金融资产管理股份有限公司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24兴化国投PPN004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兴业基金-兴富101号集合资产管理计划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0.9201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兴业基金管理有限公司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天天万利宝稳利2号净值型理财产品K款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15.2436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天天万利宝稳利2号净值型理财产品K款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0.0304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天天万利宝稳利2号净值型理财产品K款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68.4731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8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天天万利宝稳利2号净值型理财产品K款2025年第一季度报告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051010100100721951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兴业银行理财托管专户天天万利宝稳利2号K款</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tcPr>
            <w:gridSpan w:val="4"/>
          </w:tcPr>
          <w:p>
            <w:pPr>
              <w:pStyle w:val="4"/>
            </w:pPr>
          </w:p>
        </w:tc>
        <w:tc>
          <w:p>
            <w:pPr>
              <w:pStyle w:val="4"/>
            </w:pPr>
          </w:p>
        </w:tc>
      </w:tr>
      <w:tr>
        <w:tblPrEx>
          <w:tblCellMar>
            <w:top w:w="0" w:type="dxa"/>
            <w:left w:w="10" w:type="dxa"/>
            <w:bottom w:w="0" w:type="dxa"/>
            <w:right w:w="10" w:type="dxa"/>
          </w:tblCellMar>
        </w:tblPrEx>
        <w:trPr>
          <w:trHeight w:val="9525"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2A6E50C1"/>
    <w:rsid w:val="46D81B7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2025-04-12T10:28:00Z</dcterms:created>
  <dc:creator>wot_wanglinbo_zy</dc:creator>
  <cp:lastModifiedBy>liuke2</cp:lastModifiedBy>
  <dcterms:modified xsi:type="dcterms:W3CDTF">2025-04-14T02:51:28Z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