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天天万利宝稳利1号净值型理财产品G款</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天天万利宝稳利1号净值型理财产品G款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3,762,121,631.28份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3,749,254,585.74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稳利恒盈G 12个月B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9K218117</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12,867,045.54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业绩比较基准（9K218017（适用【A】份额））：1.95%--3.90%</w:t>
            </w:r>
            <w:r>
              <w:rPr>
                <w:rFonts w:ascii="宋体" w:hAnsi="宋体" w:eastAsia="宋体" w:cs="宋体"/>
                <w:color w:val="000000"/>
                <w:sz w:val="21"/>
              </w:rPr>
              <w:br w:type="textWrapping"/>
            </w:r>
            <w:r>
              <w:rPr>
                <w:rFonts w:ascii="宋体" w:hAnsi="宋体" w:eastAsia="宋体" w:cs="宋体"/>
                <w:color w:val="000000"/>
                <w:sz w:val="21"/>
              </w:rPr>
              <w:t>业绩比较基准（9K218117）：1.85%--3.80%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（2）天天万利宝稳利1号净值型理财产品G款成立于2018年10月10日，数据截止至2025年03月31日。过往业绩是由兴银理财有限责任公司计算并确认后所提供的数据。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1.23763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3,799,986,674.72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1.23763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3,786,987,546.71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9K218117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1.04055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12,999,128.01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6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23附息国债15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541,680,303.01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20国开05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360,705,119.73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杭瑞2024年第三期信贷资产收益权集合资金信托计划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310,021,615.93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国金证券收益凭证134期9月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272,346,037.70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山东信托·汇信17号集合资金信托计划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250,251,779.91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2024抖音月付中保登（和畅1-4）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180,720,026.95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156,035,778.08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20招商银行永续债01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137,535,340.08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23附息国债08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137,179,778.90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130,000,000.00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49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中信资管同业借款20241210014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中国中信金融资产管理股份有限公司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杭瑞2024年第三期信贷资产收益权集合资金信托计划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杭州银行股份有限公司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信贷资产流转和收益权转让产品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飞驰建融2024年第五期两新信贷资产收益权集合资金信托计划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中国建设银行股份有限公司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信贷资产流转和收益权转让产品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山东信托·汇信17号集合资金信托计划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山东钢铁集团有限公司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2024抖音月付中保登（和畅1-4）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北京字跳网络技术有限公司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保险资产支持计划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2024抖音月付中保登（和畅1-5）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北京字跳网络技术有限公司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保险资产支持计划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国金证券收益凭证134期9月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国金证券股份有限公司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天天万利宝稳利1号净值型理财产品G款2025年第一季度报告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24乌高新MTN004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22五凌1号ABN001优先A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18,181,800.00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24泰康人寿永续债01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23华能大庆ABN001优先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19,571,240.00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23天辰工程MTN001(科创票据)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22建发地产MTN003B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28.0543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天天万利宝稳利1号净值型理财产品G款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83.3951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051010100100564499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兴业银行理财托管专户天天万利宝稳利1号G款</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37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4D126ED"/>
    <w:rsid w:val="34065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2025-04-12T10:19:00Z</dcterms:created>
  <dc:creator>wot_wanglinbo_zy</dc:creator>
  <cp:lastModifiedBy>liuke2</cp:lastModifiedBy>
  <dcterms:modified xsi:type="dcterms:W3CDTF">2025-04-14T02:49:31Z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