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兴银理财稳利丰收封闭式9049号固收类理财产品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兴银理财稳利丰收封闭式9049号固收类理财产品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9C339490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Z7002024000404</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34,900,924份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33,490,924.00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稳利丰收封闭式9049号B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9C33949B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1,410,000.00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9C33949A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9C33949B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业绩比较基准（9C33949A）：2.10%--3.50%</w:t>
            </w:r>
            <w:r>
              <w:rPr>
                <w:rFonts w:ascii="宋体" w:hAnsi="宋体" w:eastAsia="宋体" w:cs="宋体"/>
                <w:color w:val="000000"/>
                <w:sz w:val="21"/>
              </w:rPr>
              <w:br w:type="textWrapping"/>
            </w:r>
            <w:r>
              <w:rPr>
                <w:rFonts w:ascii="宋体" w:hAnsi="宋体" w:eastAsia="宋体" w:cs="宋体"/>
                <w:color w:val="000000"/>
                <w:sz w:val="21"/>
              </w:rPr>
              <w:t>业绩比较基准（9C33949B）：2.20%--3.60%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（2）兴银理财稳利丰收封闭式9049号固收类理财产品成立于2024年12月12日，数据截止至2025年03月31日。过往业绩是由兴银理财有限责任公司计算并确认后所提供的数据。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35,075,305.28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1.00498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33,657,853.98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9C33949B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1.00528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1,417,451.30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11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一、市场回顾</w:t>
            </w:r>
            <w:r>
              <w:rPr>
                <w:rFonts w:ascii="宋体" w:hAnsi="宋体" w:eastAsia="宋体" w:cs="宋体"/>
                <w:color w:val="000000"/>
                <w:sz w:val="21"/>
              </w:rPr>
              <w:br w:type="textWrapping"/>
            </w:r>
            <w:r>
              <w:rPr>
                <w:rFonts w:ascii="宋体" w:hAnsi="宋体" w:eastAsia="宋体" w:cs="宋体"/>
                <w:color w:val="000000"/>
                <w:sz w:val="21"/>
              </w:rPr>
              <w:t xml:space="preserve">    一季度以来债市表现震荡，收益率先上后下。10年国债收益率上行14BP至1.81%附近，30年国债收益率上行11bp至2.02%附近。1年国股NCD上行约30BP至1.88%附近，2-3年AA+信用债上行约15-20BP至2.1%附近。4-5年国股二级收益率上行25BP至2.09%，国股永续上行26BP至2.16%附近。</w:t>
            </w:r>
            <w:r>
              <w:rPr>
                <w:rFonts w:ascii="宋体" w:hAnsi="宋体" w:eastAsia="宋体" w:cs="宋体"/>
                <w:color w:val="000000"/>
                <w:sz w:val="21"/>
              </w:rPr>
              <w:br w:type="textWrapping"/>
            </w:r>
            <w:r>
              <w:rPr>
                <w:rFonts w:ascii="宋体" w:hAnsi="宋体" w:eastAsia="宋体" w:cs="宋体"/>
                <w:color w:val="000000"/>
                <w:sz w:val="21"/>
              </w:rPr>
              <w:t xml:space="preserve">    2025年一季度，资金面边际收敛、风险偏好改善带动债市阶段性调整，3月末央行呵护资金面平稳跨季，债市收益率转为下行。2024年末踏空的基金资金在2025年初再度进场，债市迎来开门红，10年期国债收益率下行突破1.6%。但随着央行将政策重心转移至稳汇率和防空转，降准并未落地，叠加大行融出水平偏低，资金面维持紧平衡，期间“稳增长”信号释放，债市步入震荡期，短端表现不及长端。春节后，AI大模型Deepseek横空出世，民企座谈会的召开，带动权益风险偏好提振；此外，两会政府工作报告公布，经济增长目标和财政发力基本符合预期，两会经济主体记者会上央行提及降准及结构性降息，市场逐步修正对“适度宽松”的理解，双重影响下债市宽幅震荡。基本面方面，1-2月经济数据好于预期，呈现政策拉动内需回升的状态，但内生增长动能不强，经济复苏的可持续性和强度尚待观察。3月中下旬央行投放偏积极，24日提前公告MLF操作，3月转为净投放且采取多重利率招标，资金宽松预期明显好转，债市做多情绪边际增强，收益率转为下行。</w:t>
            </w:r>
            <w:r>
              <w:rPr>
                <w:rFonts w:ascii="宋体" w:hAnsi="宋体" w:eastAsia="宋体" w:cs="宋体"/>
                <w:color w:val="000000"/>
                <w:sz w:val="21"/>
              </w:rPr>
              <w:br w:type="textWrapping"/>
            </w:r>
            <w:r>
              <w:rPr>
                <w:rFonts w:ascii="宋体" w:hAnsi="宋体" w:eastAsia="宋体" w:cs="宋体"/>
                <w:color w:val="000000"/>
                <w:sz w:val="21"/>
              </w:rPr>
              <w:t xml:space="preserve">    二、产品运作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3月中旬前，产品采取票息策略，整体保持较低杠杆，择机增加收益较高的信用债，提升组合静态收益，维持产品稳健运行。3月下旬随着资金利率中枢下移，债市收益率转为下行，产品在配置过程中适度增加杠杆及久期，建仓信用利差保护较厚的优质主体，获取收益率下行过程中所带来的资本利得，增厚组合收益。</w:t>
            </w:r>
            <w:r>
              <w:rPr>
                <w:rFonts w:ascii="宋体" w:hAnsi="宋体" w:eastAsia="宋体" w:cs="宋体"/>
                <w:color w:val="000000"/>
                <w:sz w:val="21"/>
              </w:rPr>
              <w:br w:type="textWrapping"/>
            </w:r>
            <w:r>
              <w:rPr>
                <w:rFonts w:ascii="宋体" w:hAnsi="宋体" w:eastAsia="宋体" w:cs="宋体"/>
                <w:color w:val="000000"/>
                <w:sz w:val="21"/>
              </w:rPr>
              <w:t xml:space="preserve">    三、2025年二季度展望与投资策略</w:t>
            </w:r>
            <w:r>
              <w:rPr>
                <w:rFonts w:ascii="宋体" w:hAnsi="宋体" w:eastAsia="宋体" w:cs="宋体"/>
                <w:color w:val="000000"/>
                <w:sz w:val="21"/>
              </w:rPr>
              <w:br w:type="textWrapping"/>
            </w:r>
            <w:r>
              <w:rPr>
                <w:rFonts w:ascii="宋体" w:hAnsi="宋体" w:eastAsia="宋体" w:cs="宋体"/>
                <w:color w:val="000000"/>
                <w:sz w:val="21"/>
              </w:rPr>
              <w:t xml:space="preserve">    1、2025年二季度展望</w:t>
            </w:r>
            <w:r>
              <w:rPr>
                <w:rFonts w:ascii="宋体" w:hAnsi="宋体" w:eastAsia="宋体" w:cs="宋体"/>
                <w:color w:val="000000"/>
                <w:sz w:val="21"/>
              </w:rPr>
              <w:br w:type="textWrapping"/>
            </w:r>
            <w:r>
              <w:rPr>
                <w:rFonts w:ascii="宋体" w:hAnsi="宋体" w:eastAsia="宋体" w:cs="宋体"/>
                <w:color w:val="000000"/>
                <w:sz w:val="21"/>
              </w:rPr>
              <w:t xml:space="preserve">    综合比较财政力度、PPI环比、中美关系和基本面，债市票息价值已经凸显，财政与货币配合、资产荒仍在，二季度债市做多的机会或仍然大于风险。资金方面，央行或许会在金融风险、基本面、中美利差、银行利差四个层面综合评估，维持一定的宽松空间；且MLF采用多重价位中标后，MLF资金成本将总体下降，有利于降低银行负债成本、缓解净息差压力。债券供需方面，二季度预计供给节奏略有放缓，同时到期量增大，供给压力或减少。机构行为上，债市票息价值已经凸显，纯债策略可以以票息切入，逐步展开信用票息+利率久期的组合，对于负债稳定的机构或者账户，可以考虑信用加久期。综合来看，债券仍有较高性价比，在降成本、稳资金的叙事下，债市收益率下行趋势仍将继续。策略上，目前存单、中短期信用债无论绝对利率还是信用利差都已具备较高性价比，对资金预期定价充分，建议积极配置1年左右或1-2年信用债，尤其是定价曲线倒挂的主体。</w:t>
            </w:r>
            <w:r>
              <w:rPr>
                <w:rFonts w:ascii="宋体" w:hAnsi="宋体" w:eastAsia="宋体" w:cs="宋体"/>
                <w:color w:val="000000"/>
                <w:sz w:val="21"/>
              </w:rPr>
              <w:br w:type="textWrapping"/>
            </w:r>
            <w:r>
              <w:rPr>
                <w:rFonts w:ascii="宋体" w:hAnsi="宋体" w:eastAsia="宋体" w:cs="宋体"/>
                <w:color w:val="000000"/>
                <w:sz w:val="21"/>
              </w:rPr>
              <w:t xml:space="preserve">    2、投资策略</w:t>
            </w:r>
            <w:r>
              <w:rPr>
                <w:rFonts w:ascii="宋体" w:hAnsi="宋体" w:eastAsia="宋体" w:cs="宋体"/>
                <w:color w:val="000000"/>
                <w:sz w:val="21"/>
              </w:rPr>
              <w:br w:type="textWrapping"/>
            </w:r>
            <w:r>
              <w:rPr>
                <w:rFonts w:ascii="宋体" w:hAnsi="宋体" w:eastAsia="宋体" w:cs="宋体"/>
                <w:color w:val="000000"/>
                <w:sz w:val="21"/>
              </w:rPr>
              <w:t xml:space="preserve">    利率方面，随着资金逐步好转，国债净买入或重启，1-2年期国债波段交易机会值得关注，此外5年期品种交易性价比较优；配置上，10年期、30年期国债在1.8%、2.0%以上，10年期地方债2.0%以上具备较好票息价值，可稳步建仓。信用方面，与年初相比，中短债负carry转正，套息利差较厚，票息与杠杆价值均具有较好性价比，可积极配置。负债稳定产品，关注长久期信用债、城投适度下沉策略，并增加3-5y二永波段交易。</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14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95.21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99.45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2,518,760.63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25江津建设PPN001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2,364,394.41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2,035,491.85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22通商银行二级01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2,029,649.79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1,970,059.48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24长交03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1,932,924.30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24厦国贸控MTN009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1,925,652.72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1,573,772.37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兴银理财稳利丰收封闭式9049号固收类理财产品2025年第一季度报告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23稠州商行二级资本债01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1,558,846.39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1,497,153.48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4.27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兴银理财稳利丰收封闭式9049号固收类理财产品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0.2589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bookmarkStart w:id="7" w:name="_GoBack"/>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051010100102060270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兴银理财稳利丰收封闭式9049号固收类理财产品</w:t>
                        </w:r>
                      </w:p>
                    </w:tc>
                  </w:tr>
                </w:tbl>
                <w:p>
                  <w:pPr>
                    <w:pStyle w:val="4"/>
                    <w:jc w:val="center"/>
                  </w:pPr>
                </w:p>
              </w:tc>
            </w:tr>
          </w:tbl>
          <w:p>
            <w:pPr>
              <w:pStyle w:val="4"/>
              <w:jc w:val="center"/>
            </w:pPr>
          </w:p>
        </w:tc>
        <w:tc>
          <w:p>
            <w:pPr>
              <w:pStyle w:val="4"/>
              <w:jc w:val="center"/>
            </w:pPr>
          </w:p>
        </w:tc>
      </w:tr>
      <w:bookmarkEnd w:id="7"/>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83"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ocumentProtection w:enforcement="0"/>
  <w:defaultTabStop w:val="800"/>
  <w:compat>
    <w:useFELayout/>
    <w:splitPgBreakAndParaMark/>
    <w:compatSetting w:name="compatibilityMode" w:uri="http://schemas.microsoft.com/office/word" w:val="12"/>
  </w:compat>
  <w:rsids>
    <w:rsidRoot w:val="00000000"/>
    <w:rsid w:val="052F1C5E"/>
    <w:rsid w:val="37636B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2025-04-12T04:54:35Z</dcterms:created>
  <dc:creator>heshuying1</dc:creator>
  <cp:lastModifiedBy>heshuying1</cp:lastModifiedBy>
  <dcterms:modified xsi:type="dcterms:W3CDTF">2025-04-12T05:07:03Z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