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兴银理财稳利丰收封闭式106号固收类理财产品2025年第一季度报告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兴银理财稳利丰收封闭式106号固收类理财产品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兴银理财稳利丰收封闭式106号固收类理财产品2025年第一季度报告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兴银理财稳利丰收封闭式106号固收类理财产品2025年第一季度报告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兴银理财稳利丰收封闭式106号固收类理财产品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9C311060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Z7002024000456</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176,355,674份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稳利丰收封闭式106号A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9C31106A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146,328,224.00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稳利丰收封闭式106号B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9C31106B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28,207,185.00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稳利丰收封闭式106号C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9C31106C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1,820,265.00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兴银理财稳利丰收封闭式106号固收类理财产品2025年第一季度报告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9C31106A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9C31106B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9C31106C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业绩比较基准（9C31106A）：2.50%--3.70%</w:t>
            </w:r>
            <w:r>
              <w:rPr>
                <w:rFonts w:ascii="宋体" w:hAnsi="宋体" w:eastAsia="宋体" w:cs="宋体"/>
                <w:color w:val="000000"/>
                <w:sz w:val="21"/>
              </w:rPr>
              <w:br w:type="textWrapping"/>
            </w:r>
            <w:r>
              <w:rPr>
                <w:rFonts w:ascii="宋体" w:hAnsi="宋体" w:eastAsia="宋体" w:cs="宋体"/>
                <w:color w:val="000000"/>
                <w:sz w:val="21"/>
              </w:rPr>
              <w:t>业绩比较基准（9C31106B）：2.60%--3.80%</w:t>
            </w:r>
            <w:r>
              <w:rPr>
                <w:rFonts w:ascii="宋体" w:hAnsi="宋体" w:eastAsia="宋体" w:cs="宋体"/>
                <w:color w:val="000000"/>
                <w:sz w:val="21"/>
              </w:rPr>
              <w:br w:type="textWrapping"/>
            </w:r>
            <w:r>
              <w:rPr>
                <w:rFonts w:ascii="宋体" w:hAnsi="宋体" w:eastAsia="宋体" w:cs="宋体"/>
                <w:color w:val="000000"/>
                <w:sz w:val="21"/>
              </w:rPr>
              <w:t>业绩比较基准（9C31106C）：2.75%--3.95%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（2）兴银理财稳利丰收封闭式106号固收类理财产品成立于2024年08月14日，数据截止至2025年03月31日。过往业绩是由兴银理财有限责任公司计算并确认后所提供的数据。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9C311060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1.01083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1.01083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178,265,251.90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9C31106A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147,895,423.19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9C31106B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28,527,180.61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9C31106C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1,842,648.10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兴银理财稳利丰收封闭式106号固收类理财产品2025年第一季度报告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pPr>
          </w:p>
        </w:tc>
      </w:tr>
      <w:tr>
        <w:tblPrEx>
          <w:tblCellMar>
            <w:top w:w="0" w:type="dxa"/>
            <w:left w:w="10" w:type="dxa"/>
            <w:bottom w:w="0" w:type="dxa"/>
            <w:right w:w="10" w:type="dxa"/>
          </w:tblCellMar>
        </w:tblPrEx>
        <w:trPr>
          <w:gridAfter w:val="4"/>
          <w:wAfter w:w="40" w:type="dxa"/>
          <w:trHeight w:val="403"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0869"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w:t>
            </w:r>
          </w:p>
        </w:tc>
        <w:tc>
          <w:p>
            <w:pPr>
              <w:pStyle w:val="4"/>
            </w:pPr>
          </w:p>
        </w:tc>
      </w:tr>
      <w:tr>
        <w:tblPrEx>
          <w:tblCellMar>
            <w:top w:w="0" w:type="dxa"/>
            <w:left w:w="10" w:type="dxa"/>
            <w:bottom w:w="0" w:type="dxa"/>
            <w:right w:w="10" w:type="dxa"/>
          </w:tblCellMar>
        </w:tblPrEx>
        <w:trPr>
          <w:gridAfter w:val="4"/>
          <w:wAfter w:w="40" w:type="dxa"/>
          <w:trHeight w:val="1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兴银理财稳利丰收封闭式106号固收类理财产品2025年第一季度报告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极配</w:t>
            </w:r>
            <w:bookmarkStart w:id="8" w:name="_GoBack"/>
            <w:bookmarkEnd w:id="8"/>
            <w:r>
              <w:rPr>
                <w:rFonts w:ascii="宋体" w:hAnsi="宋体" w:eastAsia="宋体" w:cs="宋体"/>
                <w:color w:val="000000"/>
                <w:sz w:val="21"/>
              </w:rPr>
              <w:t>置。负债稳定产品，关注长久期信用债、城投适度下沉策略，并增加3-5y二永波段交易。</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1.91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3.84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94.25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99.96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0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23温州银行永续债02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4,383,010.01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土地01优</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3,658,555.60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23唐山银行永续债02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3,385,059.50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1.90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21恒丰银行永续债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3,241,303.18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1.82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兴银理财稳利丰收封闭式106号固收类理财产品2025年第一季度报告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21鄞州农商永续债01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3,220,258.35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1.81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22建工Y6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3,184,019.76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20三峡银行永续债01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3,162,293.43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24商城Y2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3,116,987.07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24广信01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3,113,183.84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24四面01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3,108,285.88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兴银理财稳利丰收封闭式106号固收类理财产品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1.3179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051010100101978083</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兴银理财稳利丰收封闭式106号固收类理财产品</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8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兴银理财稳利丰收封闭式106号固收类理财产品2025年第一季度报告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p>
            <w:pPr>
              <w:pStyle w:val="4"/>
            </w:pPr>
          </w:p>
        </w:tc>
      </w:tr>
      <w:tr>
        <w:tblPrEx>
          <w:tblCellMar>
            <w:top w:w="0" w:type="dxa"/>
            <w:left w:w="10" w:type="dxa"/>
            <w:bottom w:w="0" w:type="dxa"/>
            <w:right w:w="10" w:type="dxa"/>
          </w:tblCellMar>
        </w:tblPrEx>
        <w:trPr>
          <w:gridAfter w:val="4"/>
          <w:wAfter w:w="40" w:type="dxa"/>
          <w:trHeight w:val="1325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800"/>
  <w:compat>
    <w:useFELayout/>
    <w:splitPgBreakAndParaMark/>
    <w:compatSetting w:name="compatibilityMode" w:uri="http://schemas.microsoft.com/office/word" w:val="12"/>
  </w:compat>
  <w:rsids>
    <w:rsidRoot w:val="00000000"/>
    <w:rsid w:val="1C9F028E"/>
    <w:rsid w:val="4EE4763F"/>
    <w:rsid w:val="6FF831D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2025-04-14T02:46:00Z</dcterms:created>
  <dc:creator>chenyao9</dc:creator>
  <cp:lastModifiedBy>lidongming</cp:lastModifiedBy>
  <dcterms:modified xsi:type="dcterms:W3CDTF">2025-04-14T07:37:16Z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