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兴银理财添利9号净值型理财产品2025年第一季度报告</w:t>
            </w: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兴银理财添利9号净值型理财产品</w:t>
            </w:r>
            <w:r>
              <w:rPr>
                <w:rFonts w:ascii="宋体" w:hAnsi="宋体" w:eastAsia="宋体" w:cs="宋体"/>
                <w:b/>
                <w:color w:val="000000"/>
                <w:sz w:val="32"/>
              </w:rPr>
              <w:br w:type="textWrapping"/>
            </w:r>
            <w:r>
              <w:rPr>
                <w:rFonts w:ascii="宋体" w:hAnsi="宋体" w:eastAsia="宋体" w:cs="宋体"/>
                <w:b/>
                <w:color w:val="000000"/>
                <w:sz w:val="32"/>
              </w:rPr>
              <w:t>2025年第一季度报告</w:t>
            </w:r>
          </w:p>
        </w:tc>
        <w:tc>
          <w:p>
            <w:pPr>
              <w:pStyle w:val="4"/>
            </w:pPr>
          </w:p>
        </w:tc>
      </w:tr>
      <w:tr>
        <w:tblPrEx>
          <w:tblCellMar>
            <w:top w:w="0" w:type="dxa"/>
            <w:left w:w="10" w:type="dxa"/>
            <w:bottom w:w="0" w:type="dxa"/>
            <w:right w:w="10" w:type="dxa"/>
          </w:tblCellMar>
        </w:tblPrEx>
        <w:trPr>
          <w:gridAfter w:val="6"/>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报告送出日期：2025年4月22日</w:t>
            </w: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11</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兴银理财添利9号净值型理财产品2025年第一季度报告</w:t>
            </w: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r>
              <w:rPr>
                <w:rFonts w:ascii="宋体" w:hAnsi="宋体" w:eastAsia="宋体" w:cs="宋体"/>
                <w:color w:val="000000"/>
                <w:sz w:val="21"/>
              </w:rPr>
              <w:br w:type="textWrapping"/>
            </w:r>
            <w:r>
              <w:rPr>
                <w:rFonts w:ascii="宋体" w:hAnsi="宋体" w:eastAsia="宋体" w:cs="宋体"/>
                <w:color w:val="000000"/>
                <w:sz w:val="21"/>
              </w:rPr>
              <w:t xml:space="preserve">     8. 影响理财份额投资人决策的其他重要信息</w:t>
            </w:r>
          </w:p>
        </w:tc>
        <w:tc>
          <w:p>
            <w:pPr>
              <w:pStyle w:val="4"/>
            </w:pPr>
          </w:p>
        </w:tc>
        <w:tc>
          <w:p>
            <w:pPr>
              <w:pStyle w:val="4"/>
            </w:pPr>
          </w:p>
        </w:tc>
      </w:tr>
      <w:tr>
        <w:tblPrEx>
          <w:tblCellMar>
            <w:top w:w="0" w:type="dxa"/>
            <w:left w:w="10" w:type="dxa"/>
            <w:bottom w:w="0" w:type="dxa"/>
            <w:right w:w="10" w:type="dxa"/>
          </w:tblCellMar>
        </w:tblPrEx>
        <w:trPr>
          <w:gridAfter w:val="6"/>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11</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兴银理财添利9号净值型理财产品2025年第一季度报告</w:t>
            </w: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6"/>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6"/>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6"/>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兴银理财添利9号净值型理财产品</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9B310005</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Z7002020000173</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52,418,927,528.32份</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R1</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6"/>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6"/>
          <w:trHeight w:val="30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兴银添利宝（中信专属）</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9B310015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5,908,223,778.78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添利天天赢</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9B310025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3,801,660,780.73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9B310035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10,414,706,811.13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兴银添利宝D</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9B310045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8,936,609,096.62</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4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11</w:t>
            </w: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3" w:name="JR_PAGE_ANCHOR_0_4"/>
            <w:bookmarkEnd w:id="3"/>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兴银理财添利9号净值型理财产品2025年第一季度报告</w:t>
            </w: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trHeight w:val="84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兴银添利宝E</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9B310055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971,307,400.84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兴银添利宝F-浦发专属</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9B310065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1,780,404,147.11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兴银添利宝G</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9B310075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2,010,213,679.81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兴银添利9号H</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9B310085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6,282,822,650.18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兴银添利宝I</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5,690,666,753.42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兴银添利宝J</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9B310105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494,785,563.71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兴银添利宝K</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9B310115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87,238,507.82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兴银添利宝M</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9B310125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787,386,348.52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兴银添利宝N</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9B310135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85,049,406.18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兴银添利宝O</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9B310145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58,680,956.55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兴银添利宝P</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9B310155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347,729,731.54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兴银添利9号颐养款（中老年专属）</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9B310175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252,018,694.95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添利9号T</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9B3101T5</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4,509,423,220.43</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8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p>
            <w:pPr>
              <w:pStyle w:val="4"/>
            </w:pPr>
          </w:p>
        </w:tc>
      </w:tr>
      <w:tr>
        <w:tblPrEx>
          <w:tblCellMar>
            <w:top w:w="0" w:type="dxa"/>
            <w:left w:w="10" w:type="dxa"/>
            <w:bottom w:w="0" w:type="dxa"/>
            <w:right w:w="10" w:type="dxa"/>
          </w:tblCellMar>
        </w:tblPrEx>
        <w:trPr>
          <w:gridAfter w:val="6"/>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gridAfter w:val="6"/>
          <w:trHeight w:val="3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2024年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2023年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2022年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2021年</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2020年</w:t>
                        </w:r>
                        <w:r>
                          <w:rPr>
                            <w:rFonts w:ascii="宋体" w:hAnsi="宋体" w:eastAsia="宋体" w:cs="宋体"/>
                            <w:b/>
                            <w:color w:val="000000"/>
                            <w:sz w:val="21"/>
                          </w:rPr>
                          <w:br w:type="textWrapping"/>
                        </w:r>
                        <w:r>
                          <w:rPr>
                            <w:rFonts w:ascii="宋体" w:hAnsi="宋体" w:eastAsia="宋体" w:cs="宋体"/>
                            <w:b/>
                            <w:color w:val="000000"/>
                            <w:sz w:val="21"/>
                          </w:rPr>
                          <w:t>年化收益(%)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2.44</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54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11</w:t>
            </w: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兴银理财添利9号净值型理财产品2025年第一季度报告</w:t>
            </w: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7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9B310085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9B310175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9B3101T5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2.12</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5580" w:hRule="atLeast"/>
        </w:trPr>
        <w:tc>
          <w:p>
            <w:pPr>
              <w:pStyle w:val="4"/>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业绩比较基准（9B310015）：人民银行7天通知存款利率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业绩比较基准（9B310025）：人民银行7天通知存款利率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业绩比较基准（9B310035）：人民银行7天通知存款利率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业绩比较基准（9B310045）：人民银行7天通知存款利率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业绩比较基准（9B310055）：人民银行7天通知存款利率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业绩比较基准（9B310065）：人民银行7天通知存款利率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业绩比较基准（9B310075）：人民银行7天通知存款利率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业绩比较基准（9B310085）：人民银行7天通知存款利率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业绩比较基准（9B310095）：人民银行7天通知存款利率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业绩比较基准（9B310105）：人民银行7天通知存款利率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业绩比较基准（9B310115）：人民银行7天通知存款利率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业绩比较基准（9B310125）：人民银行7天通知存款利率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业绩比较基准（9B310135）：人民银行7天通知存款利率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业绩比较基准（9B310145）：人民银行7天通知存款利率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业绩比较基准（9B310155）：人民银行7天通知存款利率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业绩比较基准（9B310175）：人民银行7天通知存款利率</w:t>
            </w:r>
            <w:r>
              <w:rPr>
                <w:rFonts w:ascii="宋体" w:hAnsi="宋体" w:eastAsia="宋体" w:cs="宋体"/>
                <w:color w:val="000000"/>
                <w:sz w:val="21"/>
              </w:rPr>
              <w:br w:type="textWrapping"/>
            </w:r>
            <w:r>
              <w:rPr>
                <w:rFonts w:ascii="宋体" w:hAnsi="宋体" w:eastAsia="宋体" w:cs="宋体"/>
                <w:color w:val="000000"/>
                <w:sz w:val="21"/>
              </w:rPr>
              <w:t>业绩比较基准（9B3101T5）：人民银行7天通知存款利率</w:t>
            </w:r>
          </w:p>
        </w:tc>
        <w:tc>
          <w:p>
            <w:pPr>
              <w:pStyle w:val="4"/>
            </w:pPr>
          </w:p>
        </w:tc>
      </w:tr>
      <w:tr>
        <w:tblPrEx>
          <w:tblCellMar>
            <w:top w:w="0" w:type="dxa"/>
            <w:left w:w="10" w:type="dxa"/>
            <w:bottom w:w="0" w:type="dxa"/>
            <w:right w:w="10" w:type="dxa"/>
          </w:tblCellMar>
        </w:tblPrEx>
        <w:trPr>
          <w:gridAfter w:val="6"/>
          <w:trHeight w:val="16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11</w:t>
            </w: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5" w:name="JR_PAGE_ANCHOR_0_6"/>
            <w:bookmarkEnd w:id="5"/>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兴银理财添利9号净值型理财产品2025年第一季度报告</w:t>
            </w: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2820" w:hRule="atLeast"/>
        </w:trPr>
        <w:tc>
          <w:p>
            <w:pPr>
              <w:pStyle w:val="4"/>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（2）兴银理财添利9号净值型理财产品成立于2020年10月27日，数据截止至2025年03月31日。过往业绩是由兴银理财有限责任公司计算并确认后所提供的数据。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gridAfter w:val="6"/>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color w:val="000000"/>
                <w:sz w:val="21"/>
              </w:rPr>
              <w:t>报告期末，产品收益具体如下：</w:t>
            </w:r>
          </w:p>
        </w:tc>
        <w:tc>
          <w:p>
            <w:pPr>
              <w:pStyle w:val="4"/>
            </w:pPr>
          </w:p>
        </w:tc>
      </w:tr>
      <w:tr>
        <w:tblPrEx>
          <w:tblCellMar>
            <w:top w:w="0" w:type="dxa"/>
            <w:left w:w="10" w:type="dxa"/>
            <w:bottom w:w="0" w:type="dxa"/>
            <w:right w:w="10" w:type="dxa"/>
          </w:tblCellMar>
        </w:tblPrEx>
        <w:trPr>
          <w:gridAfter w:val="6"/>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9B310005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0.4657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1.7090%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52,418,927,528.32</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90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0.4865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5,908,223,778.78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0.4330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1.5850%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3,801,660,780.73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1.6850%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10,414,706,811.13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0.4864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8,936,609,096.62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9B310055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1.6850%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971,307,400.84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9B310065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1.6850%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1,780,404,147.11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9B310075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0.4394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1.6140%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2,010,213,679.81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9B310085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0.4701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6,282,822,650.18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0.4295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1.5810%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5,690,666,753.42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9B310105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1.6850%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494,785,563.71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9B310115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1.6860%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87,238,507.82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9B310125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0.4452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787,386,348.52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9B310135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1.6840%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85,049,406.18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9B310145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0.4039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1.4810%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58,680,956.55</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38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11</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6" w:name="JR_PAGE_ANCHOR_0_7"/>
            <w:bookmarkEnd w:id="6"/>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兴银理财添利9号净值型理财产品2025年第一季度报告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4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9B310155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0.4866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1.6940%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347,729,731.54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9B310175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0.4847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252,018,694.95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9B3101T5</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2025年3月31日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1.8570%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4,509,423,220.43</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156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兴业银行资产管理部流动性管理，期间管理总规模逾万亿，擅长大资金的资产配置和流动性管理；2019年加入兴银理财，现担任兴银理财添利9号、添利5号、添利10号、日日新2号和现金宝4号净值型理财产品投资经理。</w:t>
            </w:r>
          </w:p>
        </w:tc>
        <w:tc>
          <w:p>
            <w:pPr>
              <w:pStyle w:val="4"/>
            </w:pPr>
          </w:p>
        </w:tc>
      </w:tr>
      <w:tr>
        <w:tblPrEx>
          <w:tblCellMar>
            <w:top w:w="0" w:type="dxa"/>
            <w:left w:w="10" w:type="dxa"/>
            <w:bottom w:w="0" w:type="dxa"/>
            <w:right w:w="10" w:type="dxa"/>
          </w:tblCellMar>
        </w:tblPrEx>
        <w:trPr>
          <w:gridAfter w:val="4"/>
          <w:trHeight w:val="445"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1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81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一、宏观经济及市场情况</w:t>
            </w:r>
            <w:r>
              <w:rPr>
                <w:rFonts w:ascii="宋体" w:hAnsi="宋体" w:eastAsia="宋体" w:cs="宋体"/>
                <w:color w:val="000000"/>
                <w:sz w:val="21"/>
              </w:rPr>
              <w:br w:type="textWrapping"/>
            </w:r>
            <w:r>
              <w:rPr>
                <w:rFonts w:ascii="宋体" w:hAnsi="宋体" w:eastAsia="宋体" w:cs="宋体"/>
                <w:color w:val="000000"/>
                <w:sz w:val="21"/>
              </w:rPr>
              <w:t xml:space="preserve">    流动性方面，2025年以来央行投放偏谨慎，在暂停国债买入、汇率承压和跨春节等因素影响下，市场资金面超预期收紧，债市进入负carry运行，全月DR007利率均值为2.30%，较去年12月上行近40bp。尤其是2025年1月13日-1月17日期间，资金面在“月中税期+MLF大额到期+春节取现需求加大”的多重因素叠加影响下持续紧张，DR、R利率上升明显，R007一度突破4%，资金利率中枢提升至高位运行。2月份在大行融出规模持续收缩的影响下，资金面并未在春节后如期转松，央行公开市场全月净回笼超1万亿，DR007利率均值为2.08%、月末一度达到2.40%以上。3月份在大行融出恢复驱动下，资金紧张状况略有放松，全月DR007利率均值为1.95%，季末短暂冲高至2.30%。</w:t>
            </w:r>
            <w:r>
              <w:rPr>
                <w:rFonts w:ascii="宋体" w:hAnsi="宋体" w:eastAsia="宋体" w:cs="宋体"/>
                <w:color w:val="000000"/>
                <w:sz w:val="21"/>
              </w:rPr>
              <w:br w:type="textWrapping"/>
            </w:r>
            <w:r>
              <w:rPr>
                <w:rFonts w:ascii="宋体" w:hAnsi="宋体" w:eastAsia="宋体" w:cs="宋体"/>
                <w:color w:val="000000"/>
                <w:sz w:val="21"/>
              </w:rPr>
              <w:t xml:space="preserve">    利率水平方面，1月中旬至3月中旬，1年同业存单从低点1.60%附近回调至2.05%附近，较央行7天 OMO操作利率1.5%高出50BP左右，相对比价回到2024年 2 月份的水平；与此同时，10年国债从低点1.60%回调到接近1.90%。</w:t>
            </w:r>
            <w:r>
              <w:rPr>
                <w:rFonts w:ascii="宋体" w:hAnsi="宋体" w:eastAsia="宋体" w:cs="宋体"/>
                <w:color w:val="000000"/>
                <w:sz w:val="21"/>
              </w:rPr>
              <w:br w:type="textWrapping"/>
            </w:r>
            <w:r>
              <w:rPr>
                <w:rFonts w:ascii="宋体" w:hAnsi="宋体" w:eastAsia="宋体" w:cs="宋体"/>
                <w:color w:val="000000"/>
                <w:sz w:val="21"/>
              </w:rPr>
              <w:t xml:space="preserve">    政策方面，3月24日，央行提前一日公告MLF操作量（超额投放630亿元），并且从属性上转为美式招标，从此前数量+价格工具完全转为类似买断式回购的数量工具，后续公布实际操作价格的概率也较小。市场表现来看，央行公告后债市当日尾盘情绪大幅提振。货币政策态度仍是“择机”降准降息，短期内经济数据有所企稳，但央行防范长债风险诉求还在，降准降息还需观望。</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 xml:space="preserve">    二、前期运作回顾</w:t>
            </w:r>
            <w:r>
              <w:rPr>
                <w:rFonts w:ascii="宋体" w:hAnsi="宋体" w:eastAsia="宋体" w:cs="宋体"/>
                <w:color w:val="000000"/>
                <w:sz w:val="21"/>
              </w:rPr>
              <w:br w:type="textWrapping"/>
            </w:r>
            <w:r>
              <w:rPr>
                <w:rFonts w:ascii="宋体" w:hAnsi="宋体" w:eastAsia="宋体" w:cs="宋体"/>
                <w:color w:val="000000"/>
                <w:sz w:val="21"/>
              </w:rPr>
              <w:t xml:space="preserve">    报告期内，本产品始终将保持流动性安全和防范信用风险作为第一要务，在此基础 上通过稳健的投资风格实现相对稳定的收益。一季度末，是传统理财规模低点，虽然现金产品规模较去年年末小幅下降约15%，但从资产收益率表现来看，该时点是一年中最佳建仓时点。因此，积极建仓还是主旋律。一至三月以来，随着国股存单收益率不断攀升，建仓规模逐月增长，累计接近350亿元。品种上，选择绝对收益率高的资产，在一季度银行缺负债的背景下，优先选择3-6个月存放同业类资产，充分享受资产的流动性溢价补偿。</w:t>
            </w:r>
            <w:r>
              <w:rPr>
                <w:rFonts w:ascii="宋体" w:hAnsi="宋体" w:eastAsia="宋体" w:cs="宋体"/>
                <w:color w:val="000000"/>
                <w:sz w:val="21"/>
              </w:rPr>
              <w:br w:type="textWrapping"/>
            </w:r>
            <w:r>
              <w:rPr>
                <w:rFonts w:ascii="宋体" w:hAnsi="宋体" w:eastAsia="宋体" w:cs="宋体"/>
                <w:color w:val="000000"/>
                <w:sz w:val="21"/>
              </w:rPr>
              <w:br w:type="textWrapping"/>
            </w:r>
            <w:r>
              <w:rPr>
                <w:rFonts w:ascii="宋体" w:hAnsi="宋体" w:eastAsia="宋体" w:cs="宋体"/>
                <w:color w:val="000000"/>
                <w:sz w:val="21"/>
              </w:rPr>
              <w:t xml:space="preserve">    三、后期投资策略</w:t>
            </w:r>
            <w:r>
              <w:rPr>
                <w:rFonts w:ascii="宋体" w:hAnsi="宋体" w:eastAsia="宋体" w:cs="宋体"/>
                <w:color w:val="000000"/>
                <w:sz w:val="21"/>
              </w:rPr>
              <w:br w:type="textWrapping"/>
            </w:r>
            <w:r>
              <w:rPr>
                <w:rFonts w:ascii="宋体" w:hAnsi="宋体" w:eastAsia="宋体" w:cs="宋体"/>
                <w:color w:val="000000"/>
                <w:sz w:val="21"/>
              </w:rPr>
              <w:t xml:space="preserve">    下阶段考虑到由美国关税政策落地引发的海外不确定性增强，国内料以宽松货币政策加以应对，来对冲国内经济增长的潜在下降。因此，4月整体资金面将较1季度更加宽松，降准、降息也大概率在二季度落地。产品端，仍然</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11</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7" w:name="JR_PAGE_ANCHOR_0_8"/>
            <w:bookmarkEnd w:id="7"/>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兴银理财添利9号净值型理财产品2025年第一季度报告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会结合负债波动情况，坚持以安全性和流动性优先、兼顾收益性的稳健策略，并根据市场变化灵活把握投资节奏。考虑到当前资产收益率处于历史低点，二季度整体节奏将较一季度更趋保守，小幅杠杆策略可期。</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44.21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9.29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报告期末本产品总资产未超过该产品净资产规模的120%，符合产品协议对本产品杠杆比例的要求。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24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gridAfter w:val="2"/>
          <w:trHeight w:val="3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Z存放同业（线上）20240508023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2,552,388,888.16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4.87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Z存放同业（线上）20241227017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2,009,458,833.65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3.83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Z存放同业（线上）20250108009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1,204,648,000.00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2.30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Z存放同业（线上）20240614003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1,048,150,316.02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2.00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11</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8" w:name="JR_PAGE_ANCHOR_0_9"/>
            <w:bookmarkEnd w:id="8"/>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兴银理财添利9号净值型理财产品2025年第一季度报告</w:t>
            </w: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3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Z存放同业（线上）20241203006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1,025,900,416.27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1.96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Z存放同业（线上）20250319002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1,000,758,333.29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1.91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Z存放同业（线上）20241227011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854,015,069.55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1.63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Z存放同业（线上）20241213004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825,474,450.00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1.57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Z存放同业（线上）20241210003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804,480,000.00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1.53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广州银行活期存款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770,032,083.33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pPr>
                        <w:r>
                          <w:rPr>
                            <w:rFonts w:ascii="宋体" w:hAnsi="宋体" w:eastAsia="宋体" w:cs="宋体"/>
                            <w:color w:val="000000"/>
                            <w:sz w:val="21"/>
                          </w:rPr>
                          <w:t>1.47</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gridAfter w:val="2"/>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7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22兴信01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24红塔证券CP007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红塔证券股份有限公司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24厦门国际银行CD176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厦门国际银行股份有限公司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22中航租赁MTN003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23国新租赁MTN001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24金隅SCP003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23潞安MTN002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24招商局SCP012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24赣公路SCP001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24一汽租赁CP006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24连云城建CP002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2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11</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6"/>
          <w:trHeight w:val="0" w:hRule="atLeast"/>
        </w:trPr>
        <w:tc>
          <w:p>
            <w:pPr>
              <w:pStyle w:val="4"/>
              <w:pageBreakBefore/>
            </w:pPr>
            <w:bookmarkStart w:id="9" w:name="JR_PAGE_ANCHOR_0_10"/>
            <w:bookmarkEnd w:id="9"/>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兴银理财添利9号净值型理财产品2025年第一季度报告</w:t>
            </w: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6"/>
          <w:trHeight w:val="602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24郴投集团CP001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24马上消费债02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25广西旅发CP001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22保利发展MTN004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22紫金矿业MTN004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22贵州高速MTN003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23贵州高速MTN002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23贵州高速MTN003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24广西旅发SCP004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24陕建集团SCP006(科创票据)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4"/>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p>
            <w:pPr>
              <w:pStyle w:val="4"/>
            </w:pPr>
          </w:p>
        </w:tc>
      </w:tr>
      <w:tr>
        <w:tblPrEx>
          <w:tblCellMar>
            <w:top w:w="0" w:type="dxa"/>
            <w:left w:w="10" w:type="dxa"/>
            <w:bottom w:w="0" w:type="dxa"/>
            <w:right w:w="10" w:type="dxa"/>
          </w:tblCellMar>
        </w:tblPrEx>
        <w:trPr>
          <w:gridAfter w:val="6"/>
          <w:trHeight w:val="7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中诚信托-添和【2】号集合资金信托计划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0.4687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中诚信托有限责任公司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债券质押式正回购</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6.9425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正回购</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421.3976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3.9396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7.7825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快赎垫资服务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1,019.4469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Z存放同业（线上）20241227011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85,000.0000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授信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兴银理财添利9号净值型理财产品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0.5503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厦门国际银行股份有限公司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Z存放同业（线上）20241203006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102,000.0000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授信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Z存放同业（线上）20241209006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40,000.0000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授信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Z存放同业（线上）20241210003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80,000.0000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授信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Z存放同业（线上）20241211001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37,000.0000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授信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trHeight w:val="38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6"/>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10/</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11</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10" w:name="JR_PAGE_ANCHOR_0_11"/>
            <w:bookmarkEnd w:id="10"/>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兴银理财添利9号净值型理财产品2025年第一季度报告</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bookmarkStart w:id="11" w:name="_GoBack" w:colFirst="0" w:colLast="3"/>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051010100101101745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兴银理财添利9号净值型理财产品</w:t>
                        </w:r>
                      </w:p>
                    </w:tc>
                  </w:tr>
                </w:tbl>
                <w:p>
                  <w:pPr>
                    <w:pStyle w:val="4"/>
                    <w:jc w:val="center"/>
                  </w:pPr>
                </w:p>
              </w:tc>
            </w:tr>
            <w:bookmarkEnd w:id="11"/>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0"/>
            <w:tcMar>
              <w:top w:w="0" w:type="dxa"/>
              <w:left w:w="0" w:type="dxa"/>
              <w:bottom w:w="0" w:type="dxa"/>
              <w:right w:w="0" w:type="dxa"/>
            </w:tcMar>
            <w:vAlign w:val="center"/>
          </w:tcPr>
          <w:p>
            <w:pPr>
              <w:jc w:val="left"/>
            </w:pPr>
            <w:r>
              <w:rPr>
                <w:rFonts w:ascii="宋体" w:hAnsi="宋体" w:eastAsia="宋体" w:cs="宋体"/>
                <w:b/>
                <w:color w:val="000000"/>
                <w:sz w:val="21"/>
              </w:rPr>
              <w:t>8.影响理财份额投资人决策的其他重要信息</w:t>
            </w: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0"/>
            <w:tcMar>
              <w:top w:w="0" w:type="dxa"/>
              <w:left w:w="0" w:type="dxa"/>
              <w:bottom w:w="0" w:type="dxa"/>
              <w:right w:w="0" w:type="dxa"/>
            </w:tcMar>
            <w:vAlign w:val="center"/>
          </w:tcPr>
          <w:p>
            <w:pPr>
              <w:jc w:val="left"/>
            </w:pPr>
            <w:r>
              <w:rPr>
                <w:rFonts w:ascii="宋体" w:hAnsi="宋体" w:eastAsia="宋体" w:cs="宋体"/>
                <w:color w:val="000000"/>
                <w:sz w:val="20"/>
              </w:rPr>
              <w:t xml:space="preserve"> 8.1报告期内单一投资者持有产品份额达到或者超过该产品总份额20%的情形</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pPr>
                        <w:r>
                          <w:rPr>
                            <w:rFonts w:ascii="宋体" w:hAnsi="宋体" w:eastAsia="宋体" w:cs="宋体"/>
                            <w:color w:val="000000"/>
                            <w:sz w:val="21"/>
                          </w:rPr>
                          <w:t xml:space="preserve">    本产品本报告期无单一投资者持有产品份额达到或者超过该产品总份额20%的情形。</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2025年4月22日</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7625"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11</w:t>
            </w:r>
          </w:p>
        </w:tc>
        <w:tc>
          <w:tcPr>
            <w:gridSpan w:val="3"/>
          </w:tcPr>
          <w:p>
            <w:pPr>
              <w:pStyle w:val="4"/>
            </w:pPr>
          </w:p>
        </w:tc>
        <w:tc>
          <w:tcPr>
            <w:gridSpan w:val="4"/>
          </w:tcPr>
          <w:p>
            <w:pPr>
              <w:pStyle w:val="4"/>
            </w:pPr>
          </w:p>
        </w:tc>
        <w:tc>
          <w:tcPr>
            <w:gridSpan w:val="2"/>
          </w:tcPr>
          <w:p>
            <w:pPr>
              <w:pStyle w:val="4"/>
            </w:pPr>
          </w:p>
        </w:tc>
        <w:tc>
          <w:p>
            <w:pPr>
              <w:pStyle w:val="4"/>
            </w:pPr>
          </w:p>
        </w:tc>
      </w:tr>
    </w:tbl>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45B7399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2025-04-12T07:44:08Z</dcterms:created>
  <dc:creator>chenyao9</dc:creator>
  <cp:lastModifiedBy>chenyao9</cp:lastModifiedBy>
  <dcterms:modified xsi:type="dcterms:W3CDTF">2025-04-12T07:51:49Z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