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天天万利宝稳利2号净值型理财产品K款</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2,801,395,113.56份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2,794,795,682.42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9K218128</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6,599,431.14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8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业绩比较基准（9K218028（适用【A】份额））：2.00%--3.50%</w:t>
            </w:r>
            <w:r>
              <w:rPr>
                <w:rFonts w:ascii="宋体" w:hAnsi="宋体" w:eastAsia="宋体" w:cs="宋体"/>
                <w:color w:val="000000"/>
                <w:sz w:val="21"/>
              </w:rPr>
              <w:br w:type="textWrapping"/>
            </w:r>
            <w:r>
              <w:rPr>
                <w:rFonts w:ascii="宋体" w:hAnsi="宋体" w:eastAsia="宋体" w:cs="宋体"/>
                <w:color w:val="000000"/>
                <w:sz w:val="21"/>
              </w:rPr>
              <w:t>业绩比较基准（9K218128）：1.90%--3.40%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（2）天天万利宝稳利2号净值型理财产品K款成立于2018年12月25日，数据截止至2024年09月30日。过往业绩是由兴银理财有限责任公司计算并确认后所提供的数据。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2,819,618,466.03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2,812,979,015.91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6,639,450.12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848"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bookmarkStart w:id="8" w:name="_GoBack"/>
            <w:bookmarkEnd w:id="8"/>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中信资管同业借款20240709003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655,262,761.10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542,887,377.14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光大金租同业借款20240626003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360,198,087.60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民生金租同业借款20240718001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200,910,522.31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178,109,805.75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158,252,927.67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133,480,735.75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24中国银行CD003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99,416,004.64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21建设银行二级01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71,835,544.79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23华润资产MTN001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40,784,691.51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光大金租同业借款20240626003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中信资管同业借款20240709003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民生金租同业借款20240718001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民生金租同业借款20240709002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22远东绿色ABN002优先A2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8,233,600.00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23溧阳城建MTN001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21.3084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0.0634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76.6189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051010100100721951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973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951A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2024-10-20T09:16:15Z</dcterms:created>
  <dc:creator>diwenjun1</dc:creator>
  <cp:lastModifiedBy>diwenjun1</cp:lastModifiedBy>
  <dcterms:modified xsi:type="dcterms:W3CDTF">2024-10-20T09:17:52Z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