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trHeight w:val="0" w:hRule="atLeast"/>
        </w:trPr>
        <w:tc>
          <w:p>
            <w:pPr>
              <w:pStyle w:val="4"/>
            </w:pPr>
            <w:bookmarkStart w:id="0" w:name="JR_PAGE_ANCHOR_0_1"/>
            <w:bookmarkEnd w:id="0"/>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兴银理财天天万利宝稳利8号D款净值型理财产品2024年第三季度报告</w:t>
            </w: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4"/>
          <w:trHeight w:val="96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trHeight w:val="3020" w:hRule="atLeast"/>
        </w:trPr>
        <w:tc>
          <w:p>
            <w:pPr>
              <w:pStyle w:val="4"/>
            </w:pPr>
          </w:p>
        </w:tc>
        <w:tc>
          <w:tcPr>
            <w:gridSpan w:val="14"/>
            <w:tcMar>
              <w:top w:w="0" w:type="dxa"/>
              <w:left w:w="0" w:type="dxa"/>
              <w:bottom w:w="0" w:type="dxa"/>
              <w:right w:w="0" w:type="dxa"/>
            </w:tcMar>
            <w:vAlign w:val="center"/>
          </w:tcPr>
          <w:p>
            <w:pPr>
              <w:spacing w:before="0" w:after="0" w:line="360" w:lineRule="auto"/>
              <w:jc w:val="center"/>
            </w:pPr>
            <w:r>
              <w:rPr>
                <w:rFonts w:ascii="宋体" w:hAnsi="宋体" w:eastAsia="宋体" w:cs="宋体"/>
                <w:b/>
                <w:color w:val="000000"/>
                <w:sz w:val="32"/>
              </w:rPr>
              <w:t>兴银理财天天万利宝稳利8号D款净值型理财产品</w:t>
            </w:r>
            <w:r>
              <w:rPr>
                <w:rFonts w:ascii="宋体" w:hAnsi="宋体" w:eastAsia="宋体" w:cs="宋体"/>
                <w:b/>
                <w:color w:val="000000"/>
                <w:sz w:val="32"/>
              </w:rPr>
              <w:br w:type="textWrapping"/>
            </w:r>
            <w:r>
              <w:rPr>
                <w:rFonts w:ascii="宋体" w:hAnsi="宋体" w:eastAsia="宋体" w:cs="宋体"/>
                <w:b/>
                <w:color w:val="000000"/>
                <w:sz w:val="32"/>
              </w:rPr>
              <w:t>2024年第三季度报告</w:t>
            </w:r>
          </w:p>
        </w:tc>
        <w:tc>
          <w:p>
            <w:pPr>
              <w:pStyle w:val="4"/>
            </w:pPr>
          </w:p>
        </w:tc>
      </w:tr>
      <w:tr>
        <w:tblPrEx>
          <w:tblCellMar>
            <w:top w:w="0" w:type="dxa"/>
            <w:left w:w="10" w:type="dxa"/>
            <w:bottom w:w="0" w:type="dxa"/>
            <w:right w:w="10" w:type="dxa"/>
          </w:tblCellMar>
        </w:tblPrEx>
        <w:trPr>
          <w:gridAfter w:val="4"/>
          <w:trHeight w:val="660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理财产品管理人：兴银理财有限责任公司</w:t>
            </w:r>
          </w:p>
        </w:tc>
        <w:tc>
          <w:tcPr>
            <w:gridSpan w:val="2"/>
          </w:tcPr>
          <w:p>
            <w:pPr>
              <w:pStyle w:val="4"/>
            </w:pPr>
          </w:p>
        </w:tc>
        <w:tc>
          <w:p>
            <w:pPr>
              <w:pStyle w:val="4"/>
            </w:pPr>
          </w:p>
        </w:tc>
      </w:tr>
      <w:tr>
        <w:tblPrEx>
          <w:tblCellMar>
            <w:top w:w="0" w:type="dxa"/>
            <w:left w:w="10" w:type="dxa"/>
            <w:bottom w:w="0" w:type="dxa"/>
            <w:right w:w="10" w:type="dxa"/>
          </w:tblCellMar>
        </w:tblPrEx>
        <w:trPr>
          <w:gridAfter w:val="4"/>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理财产品托管人：兴业银行股份有限公司</w:t>
            </w:r>
          </w:p>
        </w:tc>
        <w:tc>
          <w:tcPr>
            <w:gridSpan w:val="2"/>
          </w:tcPr>
          <w:p>
            <w:pPr>
              <w:pStyle w:val="4"/>
            </w:pPr>
          </w:p>
        </w:tc>
        <w:tc>
          <w:p>
            <w:pPr>
              <w:pStyle w:val="4"/>
            </w:pPr>
          </w:p>
        </w:tc>
      </w:tr>
      <w:tr>
        <w:tblPrEx>
          <w:tblCellMar>
            <w:top w:w="0" w:type="dxa"/>
            <w:left w:w="10" w:type="dxa"/>
            <w:bottom w:w="0" w:type="dxa"/>
            <w:right w:w="10" w:type="dxa"/>
          </w:tblCellMar>
        </w:tblPrEx>
        <w:trPr>
          <w:gridAfter w:val="4"/>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报告送出日期：2024年10月25日</w:t>
            </w:r>
          </w:p>
        </w:tc>
        <w:tc>
          <w:tcPr>
            <w:gridSpan w:val="2"/>
          </w:tcPr>
          <w:p>
            <w:pPr>
              <w:pStyle w:val="4"/>
            </w:pPr>
          </w:p>
        </w:tc>
        <w:tc>
          <w:p>
            <w:pPr>
              <w:pStyle w:val="4"/>
            </w:pPr>
          </w:p>
        </w:tc>
      </w:tr>
      <w:tr>
        <w:tblPrEx>
          <w:tblCellMar>
            <w:top w:w="0" w:type="dxa"/>
            <w:left w:w="10" w:type="dxa"/>
            <w:bottom w:w="0" w:type="dxa"/>
            <w:right w:w="10" w:type="dxa"/>
          </w:tblCellMar>
        </w:tblPrEx>
        <w:trPr>
          <w:gridAfter w:val="4"/>
          <w:trHeight w:val="272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5"/>
          </w:tcPr>
          <w:p>
            <w:pPr>
              <w:pStyle w:val="4"/>
            </w:pPr>
          </w:p>
        </w:tc>
        <w:tc>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1/</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trHeight w:val="0" w:hRule="atLeast"/>
        </w:trPr>
        <w:tc>
          <w:p>
            <w:pPr>
              <w:pStyle w:val="4"/>
              <w:pageBreakBefore/>
            </w:pPr>
            <w:bookmarkStart w:id="1" w:name="JR_PAGE_ANCHOR_0_2"/>
            <w:bookmarkEnd w:id="1"/>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兴银理财天天万利宝稳利8号D款净值型理财产品2024年第三季度报告</w:t>
            </w: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4"/>
          <w:trHeight w:val="84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600" w:hRule="atLeast"/>
        </w:trPr>
        <w:tc>
          <w:p>
            <w:pPr>
              <w:pStyle w:val="4"/>
            </w:pPr>
          </w:p>
        </w:tc>
        <w:tc>
          <w:tcPr>
            <w:gridSpan w:val="3"/>
          </w:tcPr>
          <w:p>
            <w:pPr>
              <w:pStyle w:val="4"/>
            </w:pPr>
          </w:p>
        </w:tc>
        <w:tc>
          <w:tcPr>
            <w:gridSpan w:val="3"/>
          </w:tcPr>
          <w:p>
            <w:pPr>
              <w:pStyle w:val="4"/>
            </w:pPr>
          </w:p>
        </w:tc>
        <w:tc>
          <w:tcPr>
            <w:gridSpan w:val="2"/>
          </w:tcPr>
          <w:p>
            <w:pPr>
              <w:pStyle w:val="4"/>
            </w:pPr>
          </w:p>
        </w:tc>
        <w:tc>
          <w:tcPr>
            <w:gridSpan w:val="2"/>
            <w:tcMar>
              <w:top w:w="0" w:type="dxa"/>
              <w:left w:w="0" w:type="dxa"/>
              <w:bottom w:w="0" w:type="dxa"/>
              <w:right w:w="0" w:type="dxa"/>
            </w:tcMar>
            <w:vAlign w:val="top"/>
          </w:tcPr>
          <w:p>
            <w:pPr>
              <w:jc w:val="center"/>
            </w:pPr>
            <w:r>
              <w:rPr>
                <w:rFonts w:ascii="宋体" w:hAnsi="宋体" w:eastAsia="宋体" w:cs="宋体"/>
                <w:b/>
                <w:color w:val="000000"/>
                <w:sz w:val="30"/>
              </w:rPr>
              <w:t>目  录</w:t>
            </w: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44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6840" w:hRule="atLeast"/>
        </w:trPr>
        <w:tc>
          <w:p>
            <w:pPr>
              <w:pStyle w:val="4"/>
            </w:pPr>
          </w:p>
        </w:tc>
        <w:tc>
          <w:tcPr>
            <w:gridSpan w:val="3"/>
          </w:tcPr>
          <w:p>
            <w:pPr>
              <w:pStyle w:val="4"/>
            </w:pPr>
          </w:p>
        </w:tc>
        <w:tc>
          <w:tcPr>
            <w:gridSpan w:val="10"/>
            <w:tcMar>
              <w:top w:w="0" w:type="dxa"/>
              <w:left w:w="0" w:type="dxa"/>
              <w:bottom w:w="0" w:type="dxa"/>
              <w:right w:w="0" w:type="dxa"/>
            </w:tcMar>
            <w:vAlign w:val="top"/>
          </w:tcPr>
          <w:p>
            <w:pPr>
              <w:spacing w:before="0" w:after="0" w:line="336" w:lineRule="auto"/>
              <w:jc w:val="left"/>
            </w:pPr>
            <w:r>
              <w:rPr>
                <w:rFonts w:ascii="宋体" w:hAnsi="宋体" w:eastAsia="宋体" w:cs="宋体"/>
                <w:color w:val="000000"/>
                <w:sz w:val="21"/>
              </w:rPr>
              <w:t>§ 一. 重要提示</w:t>
            </w:r>
            <w:r>
              <w:rPr>
                <w:rFonts w:ascii="宋体" w:hAnsi="宋体" w:eastAsia="宋体" w:cs="宋体"/>
                <w:color w:val="000000"/>
                <w:sz w:val="21"/>
              </w:rPr>
              <w:br w:type="textWrapping"/>
            </w:r>
            <w:r>
              <w:rPr>
                <w:rFonts w:ascii="宋体" w:hAnsi="宋体" w:eastAsia="宋体" w:cs="宋体"/>
                <w:color w:val="000000"/>
                <w:sz w:val="21"/>
              </w:rPr>
              <w:t>§ 二. 产品基本信息</w:t>
            </w:r>
            <w:r>
              <w:rPr>
                <w:rFonts w:ascii="宋体" w:hAnsi="宋体" w:eastAsia="宋体" w:cs="宋体"/>
                <w:color w:val="000000"/>
                <w:sz w:val="21"/>
              </w:rPr>
              <w:br w:type="textWrapping"/>
            </w:r>
            <w:r>
              <w:rPr>
                <w:rFonts w:ascii="宋体" w:hAnsi="宋体" w:eastAsia="宋体" w:cs="宋体"/>
                <w:color w:val="000000"/>
                <w:sz w:val="21"/>
              </w:rPr>
              <w:t>§ 三. 产品收益表现</w:t>
            </w:r>
            <w:r>
              <w:rPr>
                <w:rFonts w:ascii="宋体" w:hAnsi="宋体" w:eastAsia="宋体" w:cs="宋体"/>
                <w:color w:val="000000"/>
                <w:sz w:val="21"/>
              </w:rPr>
              <w:br w:type="textWrapping"/>
            </w:r>
            <w:r>
              <w:rPr>
                <w:rFonts w:ascii="宋体" w:hAnsi="宋体" w:eastAsia="宋体" w:cs="宋体"/>
                <w:color w:val="000000"/>
                <w:sz w:val="21"/>
              </w:rPr>
              <w:t>§ 四. 产品投资经理简介</w:t>
            </w:r>
            <w:r>
              <w:rPr>
                <w:rFonts w:ascii="宋体" w:hAnsi="宋体" w:eastAsia="宋体" w:cs="宋体"/>
                <w:color w:val="000000"/>
                <w:sz w:val="21"/>
              </w:rPr>
              <w:br w:type="textWrapping"/>
            </w:r>
            <w:r>
              <w:rPr>
                <w:rFonts w:ascii="宋体" w:hAnsi="宋体" w:eastAsia="宋体" w:cs="宋体"/>
                <w:color w:val="000000"/>
                <w:sz w:val="21"/>
              </w:rPr>
              <w:t>§ 五. 报告期内产品投资策略</w:t>
            </w:r>
            <w:r>
              <w:rPr>
                <w:rFonts w:ascii="宋体" w:hAnsi="宋体" w:eastAsia="宋体" w:cs="宋体"/>
                <w:color w:val="000000"/>
                <w:sz w:val="21"/>
              </w:rPr>
              <w:br w:type="textWrapping"/>
            </w:r>
            <w:r>
              <w:rPr>
                <w:rFonts w:ascii="宋体" w:hAnsi="宋体" w:eastAsia="宋体" w:cs="宋体"/>
                <w:color w:val="000000"/>
                <w:sz w:val="21"/>
              </w:rPr>
              <w:t>§ 六. 投资组合情况</w:t>
            </w:r>
            <w:r>
              <w:rPr>
                <w:rFonts w:ascii="宋体" w:hAnsi="宋体" w:eastAsia="宋体" w:cs="宋体"/>
                <w:color w:val="000000"/>
                <w:sz w:val="21"/>
              </w:rPr>
              <w:br w:type="textWrapping"/>
            </w:r>
            <w:r>
              <w:rPr>
                <w:rFonts w:ascii="宋体" w:hAnsi="宋体" w:eastAsia="宋体" w:cs="宋体"/>
                <w:color w:val="000000"/>
                <w:sz w:val="21"/>
              </w:rPr>
              <w:t xml:space="preserve">     1. 报告期末资产组合情况</w:t>
            </w:r>
            <w:r>
              <w:rPr>
                <w:rFonts w:ascii="宋体" w:hAnsi="宋体" w:eastAsia="宋体" w:cs="宋体"/>
                <w:color w:val="000000"/>
                <w:sz w:val="21"/>
              </w:rPr>
              <w:br w:type="textWrapping"/>
            </w:r>
            <w:r>
              <w:rPr>
                <w:rFonts w:ascii="宋体" w:hAnsi="宋体" w:eastAsia="宋体" w:cs="宋体"/>
                <w:color w:val="000000"/>
                <w:sz w:val="21"/>
              </w:rPr>
              <w:t xml:space="preserve">     2. 报告期末杠杆融资情况</w:t>
            </w:r>
            <w:r>
              <w:rPr>
                <w:rFonts w:ascii="宋体" w:hAnsi="宋体" w:eastAsia="宋体" w:cs="宋体"/>
                <w:color w:val="000000"/>
                <w:sz w:val="21"/>
              </w:rPr>
              <w:br w:type="textWrapping"/>
            </w:r>
            <w:r>
              <w:rPr>
                <w:rFonts w:ascii="宋体" w:hAnsi="宋体" w:eastAsia="宋体" w:cs="宋体"/>
                <w:color w:val="000000"/>
                <w:sz w:val="21"/>
              </w:rPr>
              <w:t xml:space="preserve">     3. 投资组合的流动性风险分析</w:t>
            </w:r>
            <w:r>
              <w:rPr>
                <w:rFonts w:ascii="宋体" w:hAnsi="宋体" w:eastAsia="宋体" w:cs="宋体"/>
                <w:color w:val="000000"/>
                <w:sz w:val="21"/>
              </w:rPr>
              <w:br w:type="textWrapping"/>
            </w:r>
            <w:r>
              <w:rPr>
                <w:rFonts w:ascii="宋体" w:hAnsi="宋体" w:eastAsia="宋体" w:cs="宋体"/>
                <w:color w:val="000000"/>
                <w:sz w:val="21"/>
              </w:rPr>
              <w:t xml:space="preserve">     4. 报告期末资产持仓前十基本信息</w:t>
            </w:r>
            <w:r>
              <w:rPr>
                <w:rFonts w:ascii="宋体" w:hAnsi="宋体" w:eastAsia="宋体" w:cs="宋体"/>
                <w:color w:val="000000"/>
                <w:sz w:val="21"/>
              </w:rPr>
              <w:br w:type="textWrapping"/>
            </w:r>
            <w:r>
              <w:rPr>
                <w:rFonts w:ascii="宋体" w:hAnsi="宋体" w:eastAsia="宋体" w:cs="宋体"/>
                <w:color w:val="000000"/>
                <w:sz w:val="21"/>
              </w:rPr>
              <w:t xml:space="preserve">     5. 报告期末持有非标准化债权类资产情况</w:t>
            </w:r>
            <w:r>
              <w:rPr>
                <w:rFonts w:ascii="宋体" w:hAnsi="宋体" w:eastAsia="宋体" w:cs="宋体"/>
                <w:color w:val="000000"/>
                <w:sz w:val="21"/>
              </w:rPr>
              <w:br w:type="textWrapping"/>
            </w:r>
            <w:r>
              <w:rPr>
                <w:rFonts w:ascii="宋体" w:hAnsi="宋体" w:eastAsia="宋体" w:cs="宋体"/>
                <w:color w:val="000000"/>
                <w:sz w:val="21"/>
              </w:rPr>
              <w:t xml:space="preserve">     6. 报告期间关联交易情况</w:t>
            </w:r>
            <w:r>
              <w:rPr>
                <w:rFonts w:ascii="宋体" w:hAnsi="宋体" w:eastAsia="宋体" w:cs="宋体"/>
                <w:color w:val="000000"/>
                <w:sz w:val="21"/>
              </w:rPr>
              <w:br w:type="textWrapping"/>
            </w:r>
            <w:r>
              <w:rPr>
                <w:rFonts w:ascii="宋体" w:hAnsi="宋体" w:eastAsia="宋体" w:cs="宋体"/>
                <w:color w:val="000000"/>
                <w:sz w:val="21"/>
              </w:rPr>
              <w:t xml:space="preserve">     7. 投资账户信息</w:t>
            </w:r>
          </w:p>
        </w:tc>
        <w:tc>
          <w:p>
            <w:pPr>
              <w:pStyle w:val="4"/>
            </w:pPr>
          </w:p>
        </w:tc>
        <w:tc>
          <w:p>
            <w:pPr>
              <w:pStyle w:val="4"/>
            </w:pPr>
          </w:p>
        </w:tc>
      </w:tr>
      <w:tr>
        <w:tblPrEx>
          <w:tblCellMar>
            <w:top w:w="0" w:type="dxa"/>
            <w:left w:w="10" w:type="dxa"/>
            <w:bottom w:w="0" w:type="dxa"/>
            <w:right w:w="10" w:type="dxa"/>
          </w:tblCellMar>
        </w:tblPrEx>
        <w:trPr>
          <w:gridAfter w:val="4"/>
          <w:trHeight w:val="608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3"/>
          </w:tcPr>
          <w:p>
            <w:pPr>
              <w:pStyle w:val="4"/>
            </w:pPr>
          </w:p>
        </w:tc>
        <w:tc>
          <w:tcPr>
            <w:gridSpan w:val="3"/>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2/</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2"/>
          <w:trHeight w:val="0" w:hRule="atLeast"/>
        </w:trPr>
        <w:tc>
          <w:p>
            <w:pPr>
              <w:pStyle w:val="4"/>
              <w:pageBreakBefore/>
            </w:pPr>
            <w:bookmarkStart w:id="2" w:name="JR_PAGE_ANCHOR_0_3"/>
            <w:bookmarkEnd w:id="2"/>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兴银理财天天万利宝稳利8号D款净值型理财产品2024年第三季度报告</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一. 重要提示</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3080" w:hRule="atLeast"/>
        </w:trPr>
        <w:tc>
          <w:p>
            <w:pPr>
              <w:pStyle w:val="4"/>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pPr>
            <w:r>
              <w:rPr>
                <w:rFonts w:ascii="仿宋" w:hAnsi="仿宋" w:eastAsia="仿宋" w:cs="仿宋"/>
                <w:color w:val="000000"/>
                <w:sz w:val="21"/>
              </w:rPr>
              <w:br w:type="textWrapping"/>
            </w:r>
            <w:r>
              <w:rPr>
                <w:rFonts w:ascii="仿宋" w:hAnsi="仿宋" w:eastAsia="仿宋" w:cs="仿宋"/>
                <w:color w:val="000000"/>
                <w:sz w:val="21"/>
              </w:rPr>
              <w:t xml:space="preserve"> 1. 温馨提醒：理财非存款，产品有风险，投资需谨慎！</w:t>
            </w:r>
            <w:r>
              <w:rPr>
                <w:rFonts w:ascii="仿宋" w:hAnsi="仿宋" w:eastAsia="仿宋" w:cs="仿宋"/>
                <w:color w:val="000000"/>
                <w:sz w:val="21"/>
              </w:rPr>
              <w:br w:type="textWrapping"/>
            </w:r>
            <w:r>
              <w:rPr>
                <w:rFonts w:ascii="仿宋" w:hAnsi="仿宋" w:eastAsia="仿宋" w:cs="仿宋"/>
                <w:color w:val="000000"/>
                <w:sz w:val="21"/>
              </w:rPr>
              <w:t xml:space="preserve"> 2. 理财信息可供参考，详情请咨询理财经理，或在“中国理财网（www.chinawealth.com.cn）”查询该产品相关信息。</w:t>
            </w:r>
            <w:r>
              <w:rPr>
                <w:rFonts w:ascii="仿宋" w:hAnsi="仿宋" w:eastAsia="仿宋" w:cs="仿宋"/>
                <w:color w:val="000000"/>
                <w:sz w:val="21"/>
              </w:rPr>
              <w:br w:type="textWrapping"/>
            </w:r>
            <w:r>
              <w:rPr>
                <w:rFonts w:ascii="仿宋" w:hAnsi="仿宋" w:eastAsia="仿宋" w:cs="仿宋"/>
                <w:color w:val="000000"/>
                <w:sz w:val="21"/>
              </w:rPr>
              <w:t xml:space="preserve"> 3. 兴银理财有限责任公司保留对所有文字说明的最终解释权。</w:t>
            </w:r>
            <w:r>
              <w:rPr>
                <w:rFonts w:ascii="仿宋" w:hAnsi="仿宋" w:eastAsia="仿宋" w:cs="仿宋"/>
                <w:color w:val="000000"/>
                <w:sz w:val="21"/>
              </w:rPr>
              <w:br w:type="textWrapping"/>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二. 产品基本情况</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pPr>
            <w:r>
              <w:rPr>
                <w:rFonts w:ascii="宋体" w:hAnsi="宋体" w:eastAsia="宋体" w:cs="宋体"/>
                <w:color w:val="000000"/>
                <w:sz w:val="21"/>
              </w:rPr>
              <w:t>兴银理财天天万利宝稳利8号D款净值型理财产品</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9K209540</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Z7002021000163</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开放式</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公募</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固定收益类</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558,313,945.19份</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人民币</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pPr>
            <w:r>
              <w:rPr>
                <w:rFonts w:ascii="宋体" w:hAnsi="宋体" w:eastAsia="宋体" w:cs="宋体"/>
                <w:color w:val="000000"/>
                <w:sz w:val="21"/>
              </w:rPr>
              <w:t>R2</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兴银理财有限责任公司</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pPr>
            <w:r>
              <w:rPr>
                <w:rFonts w:ascii="宋体" w:hAnsi="宋体" w:eastAsia="宋体" w:cs="宋体"/>
                <w:color w:val="000000"/>
                <w:sz w:val="21"/>
              </w:rPr>
              <w:t>兴业银行股份有限公司</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400" w:hRule="exact"/>
        </w:trPr>
        <w:tc>
          <w:p>
            <w:pPr>
              <w:pStyle w:val="4"/>
            </w:pPr>
          </w:p>
        </w:tc>
        <w:tc>
          <w:p>
            <w:pPr>
              <w:pStyle w:val="4"/>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pPr>
                        <w:r>
                          <w:rPr>
                            <w:rFonts w:ascii="宋体" w:hAnsi="宋体" w:eastAsia="宋体" w:cs="宋体"/>
                            <w:color w:val="000000"/>
                            <w:sz w:val="21"/>
                          </w:rPr>
                          <w:t>下属子份额的销售名称</w:t>
                        </w:r>
                      </w:p>
                    </w:tc>
                    <w:tc>
                      <w:p>
                        <w:pPr>
                          <w:pStyle w:val="4"/>
                        </w:pPr>
                      </w:p>
                    </w:tc>
                  </w:tr>
                </w:tbl>
                <w:p>
                  <w:pPr>
                    <w:pStyle w:val="4"/>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pPr>
                        <w:r>
                          <w:rPr>
                            <w:rFonts w:ascii="宋体" w:hAnsi="宋体" w:eastAsia="宋体" w:cs="宋体"/>
                            <w:color w:val="000000"/>
                            <w:sz w:val="21"/>
                          </w:rPr>
                          <w:t>下属子份额的销售代码</w:t>
                        </w:r>
                      </w:p>
                    </w:tc>
                  </w:tr>
                </w:tbl>
                <w:p>
                  <w:pPr>
                    <w:pStyle w:val="4"/>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pPr>
                        <w:r>
                          <w:rPr>
                            <w:rFonts w:ascii="宋体" w:hAnsi="宋体" w:eastAsia="宋体" w:cs="宋体"/>
                            <w:color w:val="000000"/>
                            <w:sz w:val="21"/>
                          </w:rPr>
                          <w:t>报告期末下属子份额的产品份额总数</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pPr>
                        <w:r>
                          <w:rPr>
                            <w:rFonts w:ascii="宋体" w:hAnsi="宋体" w:eastAsia="宋体" w:cs="宋体"/>
                            <w:color w:val="000000"/>
                            <w:sz w:val="21"/>
                          </w:rPr>
                          <w:t>稳利季季增利I款</w:t>
                        </w:r>
                      </w:p>
                    </w:tc>
                  </w:tr>
                </w:tbl>
                <w:p>
                  <w:pPr>
                    <w:pStyle w:val="4"/>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9K20954A</w:t>
                        </w:r>
                      </w:p>
                    </w:tc>
                  </w:tr>
                </w:tbl>
                <w:p>
                  <w:pPr>
                    <w:pStyle w:val="4"/>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459,010,812.50</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pPr>
                        <w:r>
                          <w:rPr>
                            <w:rFonts w:ascii="宋体" w:hAnsi="宋体" w:eastAsia="宋体" w:cs="宋体"/>
                            <w:color w:val="000000"/>
                            <w:sz w:val="21"/>
                          </w:rPr>
                          <w:t>稳利季季增利I款B</w:t>
                        </w:r>
                      </w:p>
                    </w:tc>
                  </w:tr>
                </w:tbl>
                <w:p>
                  <w:pPr>
                    <w:pStyle w:val="4"/>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9K20954B</w:t>
                        </w:r>
                      </w:p>
                    </w:tc>
                  </w:tr>
                </w:tbl>
                <w:p>
                  <w:pPr>
                    <w:pStyle w:val="4"/>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41,201,027.66</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pPr>
                        <w:r>
                          <w:rPr>
                            <w:rFonts w:ascii="宋体" w:hAnsi="宋体" w:eastAsia="宋体" w:cs="宋体"/>
                            <w:color w:val="000000"/>
                            <w:sz w:val="21"/>
                          </w:rPr>
                          <w:t>稳利季季增利I款C</w:t>
                        </w:r>
                      </w:p>
                    </w:tc>
                  </w:tr>
                </w:tbl>
                <w:p>
                  <w:pPr>
                    <w:pStyle w:val="4"/>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9K20954C</w:t>
                        </w:r>
                      </w:p>
                    </w:tc>
                  </w:tr>
                </w:tbl>
                <w:p>
                  <w:pPr>
                    <w:pStyle w:val="4"/>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13,750,308.61</w:t>
                        </w:r>
                      </w:p>
                    </w:tc>
                  </w:tr>
                </w:tbl>
                <w:p>
                  <w:pPr>
                    <w:pStyle w:val="4"/>
                  </w:pPr>
                </w:p>
              </w:tc>
            </w:tr>
          </w:tbl>
          <w:p>
            <w:pPr>
              <w:pStyle w:val="4"/>
            </w:pPr>
          </w:p>
        </w:tc>
        <w:tc>
          <w:p>
            <w:pPr>
              <w:pStyle w:val="4"/>
            </w:pPr>
          </w:p>
        </w:tc>
      </w:tr>
      <w:tr>
        <w:tblPrEx>
          <w:tblCellMar>
            <w:top w:w="0" w:type="dxa"/>
            <w:left w:w="10" w:type="dxa"/>
            <w:bottom w:w="0" w:type="dxa"/>
            <w:right w:w="10" w:type="dxa"/>
          </w:tblCellMar>
        </w:tblPrEx>
        <w:trPr>
          <w:gridAfter w:val="2"/>
          <w:trHeight w:val="62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57" w:hRule="atLeast"/>
        </w:trPr>
        <w:tc>
          <w:p>
            <w:pPr>
              <w:pStyle w:val="4"/>
            </w:pPr>
          </w:p>
        </w:tc>
        <w:tc>
          <w:p>
            <w:pPr>
              <w:pStyle w:val="4"/>
            </w:pPr>
          </w:p>
        </w:tc>
        <w:tc>
          <w:tcPr>
            <w:gridSpan w:val="5"/>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3/</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3" w:name="JR_PAGE_ANCHOR_0_4"/>
            <w:bookmarkEnd w:id="3"/>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兴银理财天天万利宝稳利8号D款净值型理财产品2024年第三季度报告</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1200" w:hRule="exact"/>
        </w:trPr>
        <w:tc>
          <w:p>
            <w:pPr>
              <w:pStyle w:val="4"/>
            </w:pPr>
          </w:p>
        </w:tc>
        <w:tc>
          <w:p>
            <w:pPr>
              <w:pStyle w:val="4"/>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pPr>
                        <w:r>
                          <w:rPr>
                            <w:rFonts w:ascii="宋体" w:hAnsi="宋体" w:eastAsia="宋体" w:cs="宋体"/>
                            <w:color w:val="000000"/>
                            <w:sz w:val="21"/>
                          </w:rPr>
                          <w:t>下属子份额的销售名称</w:t>
                        </w:r>
                      </w:p>
                    </w:tc>
                    <w:tc>
                      <w:p>
                        <w:pPr>
                          <w:pStyle w:val="4"/>
                        </w:pPr>
                      </w:p>
                    </w:tc>
                  </w:tr>
                </w:tbl>
                <w:p>
                  <w:pPr>
                    <w:pStyle w:val="4"/>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pPr>
                        <w:r>
                          <w:rPr>
                            <w:rFonts w:ascii="宋体" w:hAnsi="宋体" w:eastAsia="宋体" w:cs="宋体"/>
                            <w:color w:val="000000"/>
                            <w:sz w:val="21"/>
                          </w:rPr>
                          <w:t>下属子份额的销售代码</w:t>
                        </w:r>
                      </w:p>
                    </w:tc>
                  </w:tr>
                </w:tbl>
                <w:p>
                  <w:pPr>
                    <w:pStyle w:val="4"/>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pPr>
                        <w:r>
                          <w:rPr>
                            <w:rFonts w:ascii="宋体" w:hAnsi="宋体" w:eastAsia="宋体" w:cs="宋体"/>
                            <w:color w:val="000000"/>
                            <w:sz w:val="21"/>
                          </w:rPr>
                          <w:t>报告期末下属子份额的产品份额总数</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pPr>
                        <w:r>
                          <w:rPr>
                            <w:rFonts w:ascii="宋体" w:hAnsi="宋体" w:eastAsia="宋体" w:cs="宋体"/>
                            <w:color w:val="000000"/>
                            <w:sz w:val="21"/>
                          </w:rPr>
                          <w:t>稳利季季增利I款D</w:t>
                        </w:r>
                      </w:p>
                    </w:tc>
                  </w:tr>
                </w:tbl>
                <w:p>
                  <w:pPr>
                    <w:pStyle w:val="4"/>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9K20954D</w:t>
                        </w:r>
                      </w:p>
                    </w:tc>
                  </w:tr>
                </w:tbl>
                <w:p>
                  <w:pPr>
                    <w:pStyle w:val="4"/>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44,351,796.42</w:t>
                        </w:r>
                      </w:p>
                    </w:tc>
                  </w:tr>
                </w:tbl>
                <w:p>
                  <w:pPr>
                    <w:pStyle w:val="4"/>
                  </w:pPr>
                </w:p>
              </w:tc>
            </w:tr>
          </w:tbl>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p>
            <w:pPr>
              <w:pStyle w:val="4"/>
            </w:pPr>
          </w:p>
        </w:tc>
        <w:tc>
          <w:tcPr>
            <w:gridSpan w:val="15"/>
            <w:tcMar>
              <w:top w:w="0" w:type="dxa"/>
              <w:left w:w="0" w:type="dxa"/>
              <w:bottom w:w="0" w:type="dxa"/>
              <w:right w:w="0" w:type="dxa"/>
            </w:tcMar>
            <w:vAlign w:val="top"/>
          </w:tcPr>
          <w:p>
            <w:r>
              <w:rPr>
                <w:rFonts w:ascii="宋体" w:hAnsi="宋体" w:eastAsia="宋体" w:cs="宋体"/>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三. 产品收益表现</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p>
            <w:pPr>
              <w:pStyle w:val="4"/>
            </w:pPr>
          </w:p>
        </w:tc>
        <w:tc>
          <w:p>
            <w:pPr>
              <w:pStyle w:val="4"/>
            </w:pPr>
          </w:p>
        </w:tc>
        <w:tc>
          <w:tcPr>
            <w:gridSpan w:val="16"/>
            <w:tcMar>
              <w:top w:w="0" w:type="dxa"/>
              <w:left w:w="0" w:type="dxa"/>
              <w:bottom w:w="0" w:type="dxa"/>
              <w:right w:w="0" w:type="dxa"/>
            </w:tcMar>
            <w:vAlign w:val="top"/>
          </w:tcPr>
          <w:p>
            <w:r>
              <w:rPr>
                <w:rFonts w:ascii="宋体" w:hAnsi="宋体" w:eastAsia="宋体" w:cs="宋体"/>
                <w:color w:val="000000"/>
                <w:sz w:val="21"/>
              </w:rPr>
              <w:t>报告期末，产品过往业绩如下：</w:t>
            </w:r>
          </w:p>
        </w:tc>
        <w:tc>
          <w:p>
            <w:pPr>
              <w:pStyle w:val="4"/>
            </w:pPr>
          </w:p>
        </w:tc>
      </w:tr>
      <w:tr>
        <w:tblPrEx>
          <w:tblCellMar>
            <w:top w:w="0" w:type="dxa"/>
            <w:left w:w="10" w:type="dxa"/>
            <w:bottom w:w="0" w:type="dxa"/>
            <w:right w:w="10" w:type="dxa"/>
          </w:tblCellMar>
        </w:tblPrEx>
        <w:trPr>
          <w:trHeight w:val="3000" w:hRule="exact"/>
        </w:trPr>
        <w:tc>
          <w:p>
            <w:pPr>
              <w:pStyle w:val="4"/>
            </w:pPr>
          </w:p>
        </w:tc>
        <w:tc>
          <w:p>
            <w:pPr>
              <w:pStyle w:val="4"/>
            </w:pPr>
          </w:p>
        </w:tc>
        <w:tc>
          <w:p>
            <w:pPr>
              <w:pStyle w:val="4"/>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gridCol w:w="1500"/>
              <w:gridCol w:w="1500"/>
              <w:gridCol w:w="1500"/>
              <w:gridCol w:w="1500"/>
              <w:gridCol w:w="1500"/>
              <w:gridCol w:w="15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产品销售代码</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2023年</w:t>
                        </w:r>
                        <w:r>
                          <w:rPr>
                            <w:rFonts w:ascii="宋体" w:hAnsi="宋体" w:eastAsia="宋体" w:cs="宋体"/>
                            <w:b/>
                            <w:color w:val="000000"/>
                            <w:sz w:val="21"/>
                          </w:rPr>
                          <w:br w:type="textWrapping"/>
                        </w:r>
                        <w:r>
                          <w:rPr>
                            <w:rFonts w:ascii="宋体" w:hAnsi="宋体" w:eastAsia="宋体" w:cs="宋体"/>
                            <w:b/>
                            <w:color w:val="000000"/>
                            <w:sz w:val="21"/>
                          </w:rPr>
                          <w:t>年化收益率(%)</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2022年</w:t>
                        </w:r>
                        <w:r>
                          <w:rPr>
                            <w:rFonts w:ascii="宋体" w:hAnsi="宋体" w:eastAsia="宋体" w:cs="宋体"/>
                            <w:b/>
                            <w:color w:val="000000"/>
                            <w:sz w:val="21"/>
                          </w:rPr>
                          <w:br w:type="textWrapping"/>
                        </w:r>
                        <w:r>
                          <w:rPr>
                            <w:rFonts w:ascii="宋体" w:hAnsi="宋体" w:eastAsia="宋体" w:cs="宋体"/>
                            <w:b/>
                            <w:color w:val="000000"/>
                            <w:sz w:val="21"/>
                          </w:rPr>
                          <w:t>年化收益率(%)</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2021年</w:t>
                        </w:r>
                        <w:r>
                          <w:rPr>
                            <w:rFonts w:ascii="宋体" w:hAnsi="宋体" w:eastAsia="宋体" w:cs="宋体"/>
                            <w:b/>
                            <w:color w:val="000000"/>
                            <w:sz w:val="21"/>
                          </w:rPr>
                          <w:br w:type="textWrapping"/>
                        </w:r>
                        <w:r>
                          <w:rPr>
                            <w:rFonts w:ascii="宋体" w:hAnsi="宋体" w:eastAsia="宋体" w:cs="宋体"/>
                            <w:b/>
                            <w:color w:val="000000"/>
                            <w:sz w:val="21"/>
                          </w:rPr>
                          <w:t>年化收益率(%)</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2020年</w:t>
                        </w:r>
                        <w:r>
                          <w:rPr>
                            <w:rFonts w:ascii="宋体" w:hAnsi="宋体" w:eastAsia="宋体" w:cs="宋体"/>
                            <w:b/>
                            <w:color w:val="000000"/>
                            <w:sz w:val="21"/>
                          </w:rPr>
                          <w:br w:type="textWrapping"/>
                        </w:r>
                        <w:r>
                          <w:rPr>
                            <w:rFonts w:ascii="宋体" w:hAnsi="宋体" w:eastAsia="宋体" w:cs="宋体"/>
                            <w:b/>
                            <w:color w:val="000000"/>
                            <w:sz w:val="21"/>
                          </w:rPr>
                          <w:t>年化收益率(%)</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2019年</w:t>
                        </w:r>
                        <w:r>
                          <w:rPr>
                            <w:rFonts w:ascii="宋体" w:hAnsi="宋体" w:eastAsia="宋体" w:cs="宋体"/>
                            <w:b/>
                            <w:color w:val="000000"/>
                            <w:sz w:val="21"/>
                          </w:rPr>
                          <w:br w:type="textWrapping"/>
                        </w:r>
                        <w:r>
                          <w:rPr>
                            <w:rFonts w:ascii="宋体" w:hAnsi="宋体" w:eastAsia="宋体" w:cs="宋体"/>
                            <w:b/>
                            <w:color w:val="000000"/>
                            <w:sz w:val="21"/>
                          </w:rPr>
                          <w:t>年化收益(%)</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成立至今</w:t>
                        </w:r>
                        <w:r>
                          <w:rPr>
                            <w:rFonts w:ascii="宋体" w:hAnsi="宋体" w:eastAsia="宋体" w:cs="宋体"/>
                            <w:b/>
                            <w:color w:val="000000"/>
                            <w:sz w:val="21"/>
                          </w:rPr>
                          <w:br w:type="textWrapping"/>
                        </w:r>
                        <w:r>
                          <w:rPr>
                            <w:rFonts w:ascii="宋体" w:hAnsi="宋体" w:eastAsia="宋体" w:cs="宋体"/>
                            <w:b/>
                            <w:color w:val="000000"/>
                            <w:sz w:val="21"/>
                          </w:rPr>
                          <w:t>年化收益率(%)</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9K20954A</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3.61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2.89</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9K20954B</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3.38</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2.26</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9K20954C</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3.64</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3.04</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9K20954D</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3.60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3.11</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1240" w:hRule="atLeast"/>
        </w:trPr>
        <w:tc>
          <w:p>
            <w:pPr>
              <w:pStyle w:val="4"/>
            </w:pPr>
          </w:p>
        </w:tc>
        <w:tc>
          <w:p>
            <w:pPr>
              <w:pStyle w:val="4"/>
            </w:pPr>
          </w:p>
        </w:tc>
        <w:tc>
          <w:p>
            <w:pPr>
              <w:pStyle w:val="4"/>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pPr>
            <w:r>
              <w:rPr>
                <w:rFonts w:ascii="宋体" w:hAnsi="宋体" w:eastAsia="宋体" w:cs="宋体"/>
                <w:color w:val="000000"/>
                <w:sz w:val="21"/>
              </w:rPr>
              <w:t>业绩比较基准（9K20954A）：人民银行活期存款利率</w:t>
            </w:r>
            <w:r>
              <w:rPr>
                <w:rFonts w:ascii="宋体" w:hAnsi="宋体" w:eastAsia="宋体" w:cs="宋体"/>
                <w:color w:val="000000"/>
                <w:sz w:val="21"/>
              </w:rPr>
              <w:br w:type="textWrapping"/>
            </w:r>
            <w:r>
              <w:rPr>
                <w:rFonts w:ascii="宋体" w:hAnsi="宋体" w:eastAsia="宋体" w:cs="宋体"/>
                <w:color w:val="000000"/>
                <w:sz w:val="21"/>
              </w:rPr>
              <w:t>业绩比较基准（9K20954B）：人民银行活期存款利率</w:t>
            </w:r>
            <w:r>
              <w:rPr>
                <w:rFonts w:ascii="宋体" w:hAnsi="宋体" w:eastAsia="宋体" w:cs="宋体"/>
                <w:color w:val="000000"/>
                <w:sz w:val="21"/>
              </w:rPr>
              <w:br w:type="textWrapping"/>
            </w:r>
            <w:r>
              <w:rPr>
                <w:rFonts w:ascii="宋体" w:hAnsi="宋体" w:eastAsia="宋体" w:cs="宋体"/>
                <w:color w:val="000000"/>
                <w:sz w:val="21"/>
              </w:rPr>
              <w:t>业绩比较基准（9K20954C）：人民银行活期存款利率</w:t>
            </w:r>
            <w:r>
              <w:rPr>
                <w:rFonts w:ascii="宋体" w:hAnsi="宋体" w:eastAsia="宋体" w:cs="宋体"/>
                <w:color w:val="000000"/>
                <w:sz w:val="21"/>
              </w:rPr>
              <w:br w:type="textWrapping"/>
            </w:r>
            <w:r>
              <w:rPr>
                <w:rFonts w:ascii="宋体" w:hAnsi="宋体" w:eastAsia="宋体" w:cs="宋体"/>
                <w:color w:val="000000"/>
                <w:sz w:val="21"/>
              </w:rPr>
              <w:t>业绩比较基准（9K20954D）：人民银行活期存款利率</w:t>
            </w:r>
          </w:p>
        </w:tc>
        <w:tc>
          <w:p>
            <w:pPr>
              <w:pStyle w:val="4"/>
            </w:pPr>
          </w:p>
        </w:tc>
      </w:tr>
      <w:tr>
        <w:tblPrEx>
          <w:tblCellMar>
            <w:top w:w="0" w:type="dxa"/>
            <w:left w:w="10" w:type="dxa"/>
            <w:bottom w:w="0" w:type="dxa"/>
            <w:right w:w="10" w:type="dxa"/>
          </w:tblCellMar>
        </w:tblPrEx>
        <w:trPr>
          <w:trHeight w:val="2820" w:hRule="atLeast"/>
        </w:trPr>
        <w:tc>
          <w:p>
            <w:pPr>
              <w:pStyle w:val="4"/>
            </w:pPr>
          </w:p>
        </w:tc>
        <w:tc>
          <w:p>
            <w:pPr>
              <w:pStyle w:val="4"/>
            </w:pPr>
          </w:p>
        </w:tc>
        <w:tc>
          <w:p>
            <w:pPr>
              <w:pStyle w:val="4"/>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pPr>
            <w:r>
              <w:rPr>
                <w:rFonts w:ascii="宋体" w:hAnsi="宋体" w:eastAsia="宋体" w:cs="宋体"/>
                <w:color w:val="000000"/>
                <w:sz w:val="18"/>
              </w:rPr>
              <w:t>提示：</w:t>
            </w:r>
            <w:r>
              <w:rPr>
                <w:rFonts w:ascii="宋体" w:hAnsi="宋体" w:eastAsia="宋体" w:cs="宋体"/>
                <w:color w:val="000000"/>
                <w:sz w:val="18"/>
              </w:rPr>
              <w:br w:type="textWrapping"/>
            </w:r>
            <w:r>
              <w:rPr>
                <w:rFonts w:ascii="宋体" w:hAnsi="宋体" w:eastAsia="宋体" w:cs="宋体"/>
                <w:color w:val="000000"/>
                <w:sz w:val="18"/>
              </w:rPr>
              <w:t>（1）产品展示的业绩比较基准为报告期末理财产品所在最新投资周期的业绩比较基准。</w:t>
            </w:r>
            <w:r>
              <w:rPr>
                <w:rFonts w:ascii="宋体" w:hAnsi="宋体" w:eastAsia="宋体" w:cs="宋体"/>
                <w:color w:val="000000"/>
                <w:sz w:val="18"/>
              </w:rPr>
              <w:br w:type="textWrapping"/>
            </w:r>
            <w:r>
              <w:rPr>
                <w:rFonts w:ascii="宋体" w:hAnsi="宋体" w:eastAsia="宋体" w:cs="宋体"/>
                <w:color w:val="000000"/>
                <w:sz w:val="18"/>
              </w:rPr>
              <w:t>（2）兴银理财天天万利宝稳利8号D款净值型理财产品成立于2022年02月18日，数据截止至2024年09月30日。过往业绩是由兴银理财有限责任公司计算并确认后所提供的数据。</w:t>
            </w:r>
            <w:r>
              <w:rPr>
                <w:rFonts w:ascii="宋体" w:hAnsi="宋体" w:eastAsia="宋体" w:cs="宋体"/>
                <w:color w:val="000000"/>
                <w:sz w:val="18"/>
              </w:rPr>
              <w:br w:type="textWrapping"/>
            </w:r>
            <w:r>
              <w:rPr>
                <w:rFonts w:ascii="宋体" w:hAnsi="宋体" w:eastAsia="宋体" w:cs="宋体"/>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ascii="宋体" w:hAnsi="宋体" w:eastAsia="宋体" w:cs="宋体"/>
                <w:color w:val="000000"/>
                <w:sz w:val="18"/>
              </w:rPr>
              <w:br w:type="textWrapping"/>
            </w:r>
            <w:r>
              <w:rPr>
                <w:rFonts w:ascii="宋体" w:hAnsi="宋体" w:eastAsia="宋体" w:cs="宋体"/>
                <w:color w:val="000000"/>
                <w:sz w:val="18"/>
              </w:rPr>
              <w:t xml:space="preserve">    X年年化收益率（%）=（1+（X年最后一个有效复权单位净值/X-1年最后一个有效复权单位净值-1）*100%）^（365/区间天数）-1。区间天数为该完整会计年度的天数。</w:t>
            </w:r>
            <w:r>
              <w:rPr>
                <w:rFonts w:ascii="宋体" w:hAnsi="宋体" w:eastAsia="宋体" w:cs="宋体"/>
                <w:color w:val="000000"/>
                <w:sz w:val="18"/>
              </w:rPr>
              <w:br w:type="textWrapping"/>
            </w:r>
            <w:r>
              <w:rPr>
                <w:rFonts w:ascii="宋体" w:hAnsi="宋体" w:eastAsia="宋体" w:cs="宋体"/>
                <w:color w:val="000000"/>
                <w:sz w:val="18"/>
              </w:rPr>
              <w:t xml:space="preserve">    成立至今年化收益率（%）=（1+（当前市值/成立日市值-1）*100%）^（365/区间天数）-1。区间天数为产品成立日期（或首个披露净值日期，不含该日）至报告期末净值日期（含该日）累计运作天数。</w:t>
            </w:r>
            <w:r>
              <w:rPr>
                <w:rFonts w:ascii="宋体" w:hAnsi="宋体" w:eastAsia="宋体" w:cs="宋体"/>
                <w:color w:val="000000"/>
                <w:sz w:val="18"/>
              </w:rPr>
              <w:br w:type="textWrapping"/>
            </w:r>
            <w:r>
              <w:rPr>
                <w:rFonts w:ascii="宋体" w:hAnsi="宋体" w:eastAsia="宋体" w:cs="宋体"/>
                <w:color w:val="000000"/>
                <w:sz w:val="18"/>
              </w:rPr>
              <w:t xml:space="preserve">    复权单位净值体现单位净值序列及累计净值序列的波动和分红等情况。</w:t>
            </w:r>
            <w:r>
              <w:rPr>
                <w:rFonts w:ascii="宋体" w:hAnsi="宋体" w:eastAsia="宋体" w:cs="宋体"/>
                <w:color w:val="000000"/>
                <w:sz w:val="18"/>
              </w:rPr>
              <w:br w:type="textWrapping"/>
            </w:r>
            <w:r>
              <w:rPr>
                <w:rFonts w:ascii="宋体" w:hAnsi="宋体" w:eastAsia="宋体" w:cs="宋体"/>
                <w:color w:val="000000"/>
                <w:sz w:val="18"/>
              </w:rPr>
              <w:t>（4）理财产品过往业绩不代表其未来表现，不等于理财产品实际收益，投资须谨慎。</w:t>
            </w:r>
          </w:p>
        </w:tc>
        <w:tc>
          <w:p>
            <w:pPr>
              <w:pStyle w:val="4"/>
            </w:pPr>
          </w:p>
        </w:tc>
      </w:tr>
      <w:tr>
        <w:tblPrEx>
          <w:tblCellMar>
            <w:top w:w="0" w:type="dxa"/>
            <w:left w:w="10" w:type="dxa"/>
            <w:bottom w:w="0" w:type="dxa"/>
            <w:right w:w="10" w:type="dxa"/>
          </w:tblCellMar>
        </w:tblPrEx>
        <w:trPr>
          <w:trHeight w:val="285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p>
            <w:pPr>
              <w:pStyle w:val="4"/>
            </w:pPr>
          </w:p>
        </w:tc>
        <w:tc>
          <w:p>
            <w:pPr>
              <w:pStyle w:val="4"/>
            </w:pPr>
          </w:p>
        </w:tc>
        <w:tc>
          <w:tcPr>
            <w:gridSpan w:val="4"/>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4/</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4" w:name="JR_PAGE_ANCHOR_0_5"/>
            <w:bookmarkEnd w:id="4"/>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兴银理财天天万利宝稳利8号D款净值型理财产品2024年第三季度报告</w:t>
            </w: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16"/>
            <w:tcMar>
              <w:top w:w="0" w:type="dxa"/>
              <w:left w:w="0" w:type="dxa"/>
              <w:bottom w:w="0" w:type="dxa"/>
              <w:right w:w="0" w:type="dxa"/>
            </w:tcMar>
            <w:vAlign w:val="top"/>
          </w:tcPr>
          <w:p>
            <w:r>
              <w:rPr>
                <w:rFonts w:ascii="宋体" w:hAnsi="宋体" w:eastAsia="宋体" w:cs="宋体"/>
                <w:color w:val="000000"/>
                <w:sz w:val="21"/>
              </w:rPr>
              <w:t>报告期末，产品净值表现具体如下：</w:t>
            </w:r>
          </w:p>
        </w:tc>
        <w:tc>
          <w:p>
            <w:pPr>
              <w:pStyle w:val="4"/>
            </w:pPr>
          </w:p>
        </w:tc>
      </w:tr>
      <w:tr>
        <w:tblPrEx>
          <w:tblCellMar>
            <w:top w:w="0" w:type="dxa"/>
            <w:left w:w="10" w:type="dxa"/>
            <w:bottom w:w="0" w:type="dxa"/>
            <w:right w:w="10" w:type="dxa"/>
          </w:tblCellMar>
        </w:tblPrEx>
        <w:trPr>
          <w:trHeight w:val="1200" w:hRule="exact"/>
        </w:trPr>
        <w:tc>
          <w:p>
            <w:pPr>
              <w:pStyle w:val="4"/>
            </w:pPr>
          </w:p>
        </w:tc>
        <w:tc>
          <w:tcPr>
            <w:gridSpan w:val="2"/>
          </w:tcPr>
          <w:p>
            <w:pPr>
              <w:pStyle w:val="4"/>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产品代码</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估值日期</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产品份额净值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产品累计净值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产品资产净值</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9K209540</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2024年9月30日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1.07586</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1.07586</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600,665,436.20</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3000" w:hRule="exact"/>
        </w:trPr>
        <w:tc>
          <w:p>
            <w:pPr>
              <w:pStyle w:val="4"/>
            </w:pPr>
          </w:p>
        </w:tc>
        <w:tc>
          <w:tcPr>
            <w:gridSpan w:val="2"/>
          </w:tcPr>
          <w:p>
            <w:pPr>
              <w:pStyle w:val="4"/>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销售代码</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估值日期</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产品份额净值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产品累计净值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产品资产净值</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9K20954A</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2024年9月30日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1.07729</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1.07729</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494,488,713.94</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9K20954B</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2024年9月30日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1.06010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1.06010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43,677,067.89</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9K20954C</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2024年9月30日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1.07437</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1.07437</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14,772,913.71</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9K20954D</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2024年9月30日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1.07609</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1.07609</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47,726,740.66</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56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四. 产品投资经理简介</w:t>
            </w:r>
          </w:p>
        </w:tc>
        <w:tc>
          <w:tcPr>
            <w:gridSpan w:val="4"/>
          </w:tcPr>
          <w:p>
            <w:pPr>
              <w:pStyle w:val="4"/>
            </w:pPr>
          </w:p>
        </w:tc>
        <w:tc>
          <w:p>
            <w:pPr>
              <w:pStyle w:val="4"/>
            </w:pPr>
          </w:p>
        </w:tc>
      </w:tr>
      <w:tr>
        <w:tblPrEx>
          <w:tblCellMar>
            <w:top w:w="0" w:type="dxa"/>
            <w:left w:w="10" w:type="dxa"/>
            <w:bottom w:w="0" w:type="dxa"/>
            <w:right w:w="10" w:type="dxa"/>
          </w:tblCellMar>
        </w:tblPrEx>
        <w:trPr>
          <w:trHeight w:val="42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1240" w:hRule="atLeast"/>
        </w:trPr>
        <w:tc>
          <w:p>
            <w:pPr>
              <w:pStyle w:val="4"/>
            </w:pPr>
          </w:p>
        </w:tc>
        <w:tc>
          <w:tcPr>
            <w:gridSpan w:val="14"/>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逄博先生，上海交通大学金融硕士，上海交通大学数学与应用数学学士，拥有6年以上债券投资交易经验。2018年加入兴业银行资产管理事业部，现任兴银理财固定收益投资经理，主要负责债券投资及固收产品投资管理工作。投资风格稳健，注重产品回撤控制，擅长灵活运用多种投资策略为产品捕捉收益机会，管理产品历史业绩表现优异。</w:t>
            </w:r>
          </w:p>
        </w:tc>
        <w:tc>
          <w:tcPr>
            <w:gridSpan w:val="4"/>
          </w:tcPr>
          <w:p>
            <w:pPr>
              <w:pStyle w:val="4"/>
            </w:pPr>
          </w:p>
        </w:tc>
        <w:tc>
          <w:p>
            <w:pPr>
              <w:pStyle w:val="4"/>
            </w:pPr>
          </w:p>
        </w:tc>
      </w:tr>
      <w:tr>
        <w:tblPrEx>
          <w:tblCellMar>
            <w:top w:w="0" w:type="dxa"/>
            <w:left w:w="10" w:type="dxa"/>
            <w:bottom w:w="0" w:type="dxa"/>
            <w:right w:w="10" w:type="dxa"/>
          </w:tblCellMar>
        </w:tblPrEx>
        <w:trPr>
          <w:trHeight w:val="72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五. 报告期内产品的投资策略和运作分析</w:t>
            </w:r>
          </w:p>
        </w:tc>
        <w:tc>
          <w:tcPr>
            <w:gridSpan w:val="4"/>
          </w:tcPr>
          <w:p>
            <w:pPr>
              <w:pStyle w:val="4"/>
            </w:pPr>
          </w:p>
        </w:tc>
        <w:tc>
          <w:p>
            <w:pPr>
              <w:pStyle w:val="4"/>
            </w:pPr>
          </w:p>
        </w:tc>
      </w:tr>
      <w:tr>
        <w:tblPrEx>
          <w:tblCellMar>
            <w:top w:w="0" w:type="dxa"/>
            <w:left w:w="10" w:type="dxa"/>
            <w:bottom w:w="0" w:type="dxa"/>
            <w:right w:w="10" w:type="dxa"/>
          </w:tblCellMar>
        </w:tblPrEx>
        <w:trPr>
          <w:trHeight w:val="42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5640" w:hRule="atLeast"/>
        </w:trPr>
        <w:tc>
          <w:p>
            <w:pPr>
              <w:pStyle w:val="4"/>
            </w:pPr>
          </w:p>
        </w:tc>
        <w:tc>
          <w:tcPr>
            <w:gridSpan w:val="14"/>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一、2024年三季度投资策略与运作回顾</w:t>
            </w:r>
            <w:r>
              <w:rPr>
                <w:rFonts w:ascii="宋体" w:hAnsi="宋体" w:eastAsia="宋体" w:cs="宋体"/>
                <w:color w:val="000000"/>
                <w:sz w:val="21"/>
              </w:rPr>
              <w:br w:type="textWrapping"/>
            </w:r>
            <w:r>
              <w:rPr>
                <w:rFonts w:ascii="宋体" w:hAnsi="宋体" w:eastAsia="宋体" w:cs="宋体"/>
                <w:color w:val="000000"/>
                <w:sz w:val="21"/>
              </w:rPr>
              <w:t xml:space="preserve">    三季度债券市场波动加大，期间主要受到央行调控长端利率、超预期降息以及季末稳增长组合政策出台等因素影响，整体呈现宽幅震荡走势；信用债市场则呈现“V”型走势，信用利差从收窄到历史极低位后出现持续走阔。回顾三季度，债市行情可以分为三个阶段：</w:t>
            </w:r>
            <w:r>
              <w:rPr>
                <w:rFonts w:ascii="宋体" w:hAnsi="宋体" w:eastAsia="宋体" w:cs="宋体"/>
                <w:color w:val="000000"/>
                <w:sz w:val="21"/>
              </w:rPr>
              <w:br w:type="textWrapping"/>
            </w:r>
            <w:r>
              <w:rPr>
                <w:rFonts w:ascii="宋体" w:hAnsi="宋体" w:eastAsia="宋体" w:cs="宋体"/>
                <w:color w:val="000000"/>
                <w:sz w:val="21"/>
              </w:rPr>
              <w:t xml:space="preserve">    第一阶段（7月初至8月初）：7月初，央行公告借入国债，在央行调控长端利率的担忧下，债券收益率曾一度上行，但伴随超预期降息落地和银行存款利率进一步下调，配置和交易需求升温，收益率快速下行。信用利差则在这个过程中全线收窄至历史极低位。</w:t>
            </w:r>
            <w:r>
              <w:rPr>
                <w:rFonts w:ascii="宋体" w:hAnsi="宋体" w:eastAsia="宋体" w:cs="宋体"/>
                <w:color w:val="000000"/>
                <w:sz w:val="21"/>
              </w:rPr>
              <w:br w:type="textWrapping"/>
            </w:r>
            <w:r>
              <w:rPr>
                <w:rFonts w:ascii="宋体" w:hAnsi="宋体" w:eastAsia="宋体" w:cs="宋体"/>
                <w:color w:val="000000"/>
                <w:sz w:val="21"/>
              </w:rPr>
              <w:t xml:space="preserve">    第二阶段（8 月上旬至9 月下旬）：8月上旬，央行开始指导大行卖债和做市商限制长债做市，债券收益率快速回调；此后伴随降准降息以及存量房贷利率下调预期，收益率重新开始下行，10年期国债收益率一度降至2.04%的低点。此阶段，信用债市场虽有所修复，但在预防性流动性需求的预期下，表现弱于利率，信用利差不断走阔。</w:t>
            </w:r>
            <w:r>
              <w:rPr>
                <w:rFonts w:ascii="宋体" w:hAnsi="宋体" w:eastAsia="宋体" w:cs="宋体"/>
                <w:color w:val="000000"/>
                <w:sz w:val="21"/>
              </w:rPr>
              <w:br w:type="textWrapping"/>
            </w:r>
            <w:r>
              <w:rPr>
                <w:rFonts w:ascii="宋体" w:hAnsi="宋体" w:eastAsia="宋体" w:cs="宋体"/>
                <w:color w:val="000000"/>
                <w:sz w:val="21"/>
              </w:rPr>
              <w:t xml:space="preserve">    第三阶段（9月下旬至9月底）：9月24日开始，国新办发布会拉股市、稳楼市、宽货币各项政策打包放出，政治局会议提前讨论经济议题，一举扭转了市场的政策预期和风险偏好，债市出现大幅调整。信用债市场也在月底开始出现抛售，利差进一步走阔。</w:t>
            </w:r>
            <w:r>
              <w:rPr>
                <w:rFonts w:ascii="宋体" w:hAnsi="宋体" w:eastAsia="宋体" w:cs="宋体"/>
                <w:color w:val="000000"/>
                <w:sz w:val="21"/>
              </w:rPr>
              <w:br w:type="textWrapping"/>
            </w:r>
            <w:r>
              <w:rPr>
                <w:rFonts w:ascii="宋体" w:hAnsi="宋体" w:eastAsia="宋体" w:cs="宋体"/>
                <w:color w:val="000000"/>
                <w:sz w:val="21"/>
              </w:rPr>
              <w:t xml:space="preserve">    三季度整体来看，收益率方面1年NCD、1年国债、10年国债、30年国债、信用债3年AAA、3年AA+、5年AAA、5年AA+分别变动-3BP、-17BP、-5BP、-7BP、+19BP、+20bp、+14bp、+18bp; 信用利差方面3年AAA、3年AA+、5年AAA、5年AA+分别变动+25BP、+26BP、+22BP、+26BP。</w:t>
            </w:r>
            <w:r>
              <w:rPr>
                <w:rFonts w:ascii="宋体" w:hAnsi="宋体" w:eastAsia="宋体" w:cs="宋体"/>
                <w:color w:val="000000"/>
                <w:sz w:val="21"/>
              </w:rPr>
              <w:br w:type="textWrapping"/>
            </w:r>
            <w:r>
              <w:rPr>
                <w:rFonts w:ascii="宋体" w:hAnsi="宋体" w:eastAsia="宋体" w:cs="宋体"/>
                <w:color w:val="000000"/>
                <w:sz w:val="21"/>
              </w:rPr>
              <w:t xml:space="preserve">    产品运作上，7月下旬超预期降息后，信用利差不断创新低过程中，产品逐步降低底仓信用债的占比和久期，增</w:t>
            </w: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4"/>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5/</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gridAfter w:val="2"/>
          <w:trHeight w:val="0" w:hRule="atLeast"/>
        </w:trPr>
        <w:tc>
          <w:p>
            <w:pPr>
              <w:pStyle w:val="4"/>
              <w:pageBreakBefore/>
            </w:pPr>
            <w:bookmarkStart w:id="5" w:name="JR_PAGE_ANCHOR_0_6"/>
            <w:bookmarkEnd w:id="5"/>
          </w:p>
        </w:tc>
        <w:tc>
          <w:p>
            <w:pPr>
              <w:pStyle w:val="4"/>
            </w:pPr>
          </w:p>
        </w:tc>
        <w:tc>
          <w:tcPr>
            <w:gridSpan w:val="5"/>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兴银理财天天万利宝稳利8号D款净值型理财产品2024年第三季度报告</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240" w:hRule="atLeast"/>
        </w:trPr>
        <w:tc>
          <w:p>
            <w:pPr>
              <w:pStyle w:val="4"/>
            </w:pPr>
          </w:p>
        </w:tc>
        <w:tc>
          <w:tcPr>
            <w:gridSpan w:val="14"/>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强组合流动性；同时保留利率品种的交易仓位，逢高加仓二永债及中长久期利率债，进行波段操作，适时增厚组合收益。</w:t>
            </w:r>
            <w:r>
              <w:rPr>
                <w:rFonts w:ascii="宋体" w:hAnsi="宋体" w:eastAsia="宋体" w:cs="宋体"/>
                <w:color w:val="000000"/>
                <w:sz w:val="21"/>
              </w:rPr>
              <w:br w:type="textWrapping"/>
            </w:r>
            <w:r>
              <w:rPr>
                <w:rFonts w:ascii="宋体" w:hAnsi="宋体" w:eastAsia="宋体" w:cs="宋体"/>
                <w:color w:val="000000"/>
                <w:sz w:val="21"/>
              </w:rPr>
              <w:br w:type="textWrapping"/>
            </w:r>
            <w:r>
              <w:rPr>
                <w:rFonts w:ascii="宋体" w:hAnsi="宋体" w:eastAsia="宋体" w:cs="宋体"/>
                <w:color w:val="000000"/>
                <w:sz w:val="21"/>
              </w:rPr>
              <w:t>二、2024四季度投资策略展望</w:t>
            </w:r>
            <w:r>
              <w:rPr>
                <w:rFonts w:ascii="宋体" w:hAnsi="宋体" w:eastAsia="宋体" w:cs="宋体"/>
                <w:color w:val="000000"/>
                <w:sz w:val="21"/>
              </w:rPr>
              <w:br w:type="textWrapping"/>
            </w:r>
            <w:r>
              <w:rPr>
                <w:rFonts w:ascii="宋体" w:hAnsi="宋体" w:eastAsia="宋体" w:cs="宋体"/>
                <w:color w:val="000000"/>
                <w:sz w:val="21"/>
              </w:rPr>
              <w:t xml:space="preserve">    四季度，债市短期预计继续维持区间震荡，重点关注交易性机会、品种选择。基本面来看，经济向上动能尤其是持续性仍有待验证，若宏观调控政策不能明显发力，经济修复斜率较难大幅抬升。货币方面，货币宽松仍是当下支持经济企稳回升的必要条件，二次降准、存量房贷利率调降、LPR和存款利率调降等预期下，利率不具备大幅上行的基础。机构行为方面，资产荒的核心逻辑仍然存在，且当前债券收益率和利差水平已具备一定配置性价比。但四季度，债市扰动明显增多，且不排除影响债券方向选择的因素发生，包括大规模财政刺激与政策落地、政府债发行提速、投资者风险偏好回升、理财机构负债波动以及经济数据可能出现阶段性改善等。</w:t>
            </w:r>
            <w:r>
              <w:rPr>
                <w:rFonts w:ascii="宋体" w:hAnsi="宋体" w:eastAsia="宋体" w:cs="宋体"/>
                <w:color w:val="000000"/>
                <w:sz w:val="21"/>
              </w:rPr>
              <w:br w:type="textWrapping"/>
            </w:r>
            <w:r>
              <w:rPr>
                <w:rFonts w:ascii="宋体" w:hAnsi="宋体" w:eastAsia="宋体" w:cs="宋体"/>
                <w:color w:val="000000"/>
                <w:sz w:val="21"/>
              </w:rPr>
              <w:t xml:space="preserve">    下阶段总体策略更加灵活调整久期，保持一定组合流动性，积极把握短期因素冲击调整带来的波段操作机会；同时积极关注存单、中短期信用债等确定性更强的品种，受益于新一轮地方化债的中短期城投债，以及年底的机构配置行情。</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8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六. 投资组合情况</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atLeast"/>
        </w:trPr>
        <w:tc>
          <w:p>
            <w:pPr>
              <w:pStyle w:val="4"/>
            </w:pPr>
          </w:p>
        </w:tc>
        <w:tc>
          <w:p>
            <w:pPr>
              <w:pStyle w:val="4"/>
            </w:pPr>
          </w:p>
        </w:tc>
        <w:tc>
          <w:tcPr>
            <w:gridSpan w:val="15"/>
            <w:tcMar>
              <w:top w:w="0" w:type="dxa"/>
              <w:left w:w="0" w:type="dxa"/>
              <w:bottom w:w="0" w:type="dxa"/>
              <w:right w:w="0" w:type="dxa"/>
            </w:tcMar>
            <w:vAlign w:val="center"/>
          </w:tcPr>
          <w:p>
            <w:pPr>
              <w:jc w:val="left"/>
            </w:pPr>
            <w:r>
              <w:rPr>
                <w:rFonts w:ascii="宋体" w:hAnsi="宋体" w:eastAsia="宋体" w:cs="宋体"/>
                <w:b/>
                <w:color w:val="000000"/>
                <w:sz w:val="21"/>
              </w:rPr>
              <w:t>1.报告期末产品资产组合情况</w:t>
            </w:r>
          </w:p>
        </w:tc>
        <w:tc>
          <w:p>
            <w:pPr>
              <w:pStyle w:val="4"/>
            </w:pPr>
          </w:p>
        </w:tc>
      </w:tr>
      <w:tr>
        <w:tblPrEx>
          <w:tblCellMar>
            <w:top w:w="0" w:type="dxa"/>
            <w:left w:w="10" w:type="dxa"/>
            <w:bottom w:w="0" w:type="dxa"/>
            <w:right w:w="10" w:type="dxa"/>
          </w:tblCellMar>
        </w:tblPrEx>
        <w:trPr>
          <w:gridAfter w:val="2"/>
          <w:trHeight w:val="4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3600" w:hRule="exact"/>
        </w:trPr>
        <w:tc>
          <w:p>
            <w:pPr>
              <w:pStyle w:val="4"/>
            </w:pPr>
          </w:p>
        </w:tc>
        <w:tc>
          <w:p>
            <w:pPr>
              <w:pStyle w:val="4"/>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资产类型</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直接投资占产品总资产的比例（%）</w:t>
                        </w:r>
                      </w:p>
                    </w:tc>
                  </w:tr>
                </w:tbl>
                <w:p>
                  <w:pPr>
                    <w:pStyle w:val="4"/>
                  </w:pPr>
                </w:p>
              </w:tc>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现金及银行存款</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1.23</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7.67</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同业存单</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7.94</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7.94</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债券</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84.39</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84.39</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委外投资</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6.44</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0.00</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总计</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w:t>
                        </w:r>
                      </w:p>
                    </w:tc>
                  </w:tr>
                </w:tbl>
                <w:p>
                  <w:pPr>
                    <w:pStyle w:val="4"/>
                  </w:pPr>
                </w:p>
              </w:tc>
            </w:tr>
          </w:tbl>
          <w:p>
            <w:pPr>
              <w:pStyle w:val="4"/>
            </w:pPr>
          </w:p>
        </w:tc>
        <w:tc>
          <w:p>
            <w:pPr>
              <w:pStyle w:val="4"/>
            </w:pPr>
          </w:p>
        </w:tc>
      </w:tr>
      <w:tr>
        <w:tblPrEx>
          <w:tblCellMar>
            <w:top w:w="0" w:type="dxa"/>
            <w:left w:w="10" w:type="dxa"/>
            <w:bottom w:w="0" w:type="dxa"/>
            <w:right w:w="10" w:type="dxa"/>
          </w:tblCellMar>
        </w:tblPrEx>
        <w:trPr>
          <w:gridAfter w:val="2"/>
          <w:trHeight w:val="2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tcPr>
            <w:gridSpan w:val="14"/>
            <w:tcMar>
              <w:top w:w="0" w:type="dxa"/>
              <w:left w:w="0" w:type="dxa"/>
              <w:bottom w:w="0" w:type="dxa"/>
              <w:right w:w="0" w:type="dxa"/>
            </w:tcMar>
            <w:vAlign w:val="center"/>
          </w:tcPr>
          <w:p>
            <w:pPr>
              <w:jc w:val="left"/>
            </w:pPr>
            <w:r>
              <w:rPr>
                <w:rFonts w:ascii="宋体" w:hAnsi="宋体" w:eastAsia="宋体" w:cs="宋体"/>
                <w:b/>
                <w:color w:val="000000"/>
                <w:sz w:val="21"/>
              </w:rPr>
              <w:t>2.报告期末杠杆融资情况</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1000" w:hRule="atLeast"/>
        </w:trPr>
        <w:tc>
          <w:p>
            <w:pPr>
              <w:pStyle w:val="4"/>
            </w:pPr>
          </w:p>
        </w:tc>
        <w:tc>
          <w:tcPr>
            <w:gridSpan w:val="14"/>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报告期末本产品总资产未超过该产品净资产规模的140%，符合产品协议对本产品杠杆比例的要求。</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tcPr>
            <w:gridSpan w:val="14"/>
            <w:tcMar>
              <w:top w:w="0" w:type="dxa"/>
              <w:left w:w="0" w:type="dxa"/>
              <w:bottom w:w="0" w:type="dxa"/>
              <w:right w:w="0" w:type="dxa"/>
            </w:tcMar>
            <w:vAlign w:val="center"/>
          </w:tcPr>
          <w:p>
            <w:pPr>
              <w:jc w:val="left"/>
            </w:pPr>
            <w:r>
              <w:rPr>
                <w:rFonts w:ascii="宋体" w:hAnsi="宋体" w:eastAsia="宋体" w:cs="宋体"/>
                <w:b/>
                <w:color w:val="000000"/>
                <w:sz w:val="21"/>
              </w:rPr>
              <w:t>3.投资组合的流动性风险分析</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240" w:hRule="atLeast"/>
        </w:trPr>
        <w:tc>
          <w:p>
            <w:pPr>
              <w:pStyle w:val="4"/>
            </w:pPr>
          </w:p>
        </w:tc>
        <w:tc>
          <w:tcPr>
            <w:gridSpan w:val="14"/>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ascii="宋体" w:hAnsi="宋体" w:eastAsia="宋体" w:cs="宋体"/>
                <w:color w:val="000000"/>
                <w:sz w:val="21"/>
              </w:rPr>
              <w:br w:type="textWrapping"/>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8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atLeast"/>
        </w:trPr>
        <w:tc>
          <w:p>
            <w:pPr>
              <w:pStyle w:val="4"/>
            </w:pPr>
          </w:p>
        </w:tc>
        <w:tc>
          <w:p>
            <w:pPr>
              <w:pStyle w:val="4"/>
            </w:pPr>
          </w:p>
        </w:tc>
        <w:tc>
          <w:tcPr>
            <w:gridSpan w:val="5"/>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6/</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6" w:name="JR_PAGE_ANCHOR_0_7"/>
            <w:bookmarkEnd w:id="6"/>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兴银理财天天万利宝稳利8号D款净值型理财产品2024年第三季度报告</w:t>
            </w: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2"/>
          </w:tcPr>
          <w:p>
            <w:pPr>
              <w:pStyle w:val="4"/>
            </w:pPr>
          </w:p>
        </w:tc>
        <w:tc>
          <w:tcPr>
            <w:gridSpan w:val="16"/>
            <w:tcMar>
              <w:top w:w="0" w:type="dxa"/>
              <w:left w:w="0" w:type="dxa"/>
              <w:bottom w:w="0" w:type="dxa"/>
              <w:right w:w="0" w:type="dxa"/>
            </w:tcMar>
            <w:vAlign w:val="center"/>
          </w:tcPr>
          <w:p>
            <w:r>
              <w:rPr>
                <w:rFonts w:ascii="宋体" w:hAnsi="宋体" w:eastAsia="宋体" w:cs="宋体"/>
                <w:b/>
                <w:color w:val="000000"/>
                <w:sz w:val="21"/>
              </w:rPr>
              <w:t>4.报告期末资产持仓前十基本信息</w:t>
            </w:r>
          </w:p>
        </w:tc>
        <w:tc>
          <w:p>
            <w:pPr>
              <w:pStyle w:val="4"/>
            </w:pPr>
          </w:p>
        </w:tc>
      </w:tr>
      <w:tr>
        <w:tblPrEx>
          <w:tblCellMar>
            <w:top w:w="0" w:type="dxa"/>
            <w:left w:w="10" w:type="dxa"/>
            <w:bottom w:w="0" w:type="dxa"/>
            <w:right w:w="10" w:type="dxa"/>
          </w:tblCellMar>
        </w:tblPrEx>
        <w:trPr>
          <w:trHeight w:val="6640" w:hRule="exact"/>
        </w:trPr>
        <w:tc>
          <w:p>
            <w:pPr>
              <w:pStyle w:val="4"/>
            </w:pPr>
          </w:p>
        </w:tc>
        <w:tc>
          <w:tcPr>
            <w:gridSpan w:val="2"/>
          </w:tcPr>
          <w:p>
            <w:pPr>
              <w:pStyle w:val="4"/>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资产规模</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占产品资产净值的比例（%）</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24CSFD49</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60,980,155.07</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10.15</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24重庆农村商行CD060</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49,374,611.78</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8.22</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19青信01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46,196,820.00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7.69</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23联发03</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31,143,310.69</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5.18</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21国联07</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30,956,300.96</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5.15</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23红豆MTN003(科创票据)</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26,595,700.82</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4.43</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7</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19滨湖03</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21,062,193.97</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3.51</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8</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20邵阳城投PPN001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20,968,598.63</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3.49</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22伊犁州MTN001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20,956,550.16</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3.49</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23东北C1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20,928,350.41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3.48</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2"/>
          </w:tcPr>
          <w:p>
            <w:pPr>
              <w:pStyle w:val="4"/>
            </w:pPr>
          </w:p>
        </w:tc>
        <w:tc>
          <w:tcPr>
            <w:gridSpan w:val="16"/>
            <w:tcMar>
              <w:top w:w="0" w:type="dxa"/>
              <w:left w:w="0" w:type="dxa"/>
              <w:bottom w:w="0" w:type="dxa"/>
              <w:right w:w="0" w:type="dxa"/>
            </w:tcMar>
            <w:vAlign w:val="center"/>
          </w:tcPr>
          <w:p>
            <w:r>
              <w:rPr>
                <w:rFonts w:ascii="宋体" w:hAnsi="宋体" w:eastAsia="宋体" w:cs="宋体"/>
                <w:b/>
                <w:color w:val="000000"/>
                <w:sz w:val="21"/>
              </w:rPr>
              <w:t>5.报告期末持有非标准化债权类资产情况</w:t>
            </w: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2"/>
          </w:tcPr>
          <w:p>
            <w:pPr>
              <w:pStyle w:val="4"/>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项目名称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融资客户</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剩余融资期限（天）</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交易结构</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风险状况</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2"/>
          </w:tcPr>
          <w:p>
            <w:pPr>
              <w:pStyle w:val="4"/>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1"/>
                          </w:rPr>
                          <w:t>无</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532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4"/>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7/</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7" w:name="JR_PAGE_ANCHOR_0_8"/>
            <w:bookmarkEnd w:id="7"/>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兴银理财天天万利宝稳利8号D款净值型理财产品2024年第三季度报告</w:t>
            </w: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4"/>
            <w:tcMar>
              <w:top w:w="0" w:type="dxa"/>
              <w:left w:w="0" w:type="dxa"/>
              <w:bottom w:w="0" w:type="dxa"/>
              <w:right w:w="0" w:type="dxa"/>
            </w:tcMar>
            <w:vAlign w:val="center"/>
          </w:tcPr>
          <w:p>
            <w:r>
              <w:rPr>
                <w:rFonts w:ascii="宋体" w:hAnsi="宋体" w:eastAsia="宋体" w:cs="宋体"/>
                <w:b/>
                <w:color w:val="000000"/>
                <w:sz w:val="21"/>
              </w:rPr>
              <w:t>6.报告期间关联交易情况</w:t>
            </w: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0"/>
            <w:tcMar>
              <w:top w:w="0" w:type="dxa"/>
              <w:left w:w="0" w:type="dxa"/>
              <w:bottom w:w="0" w:type="dxa"/>
              <w:right w:w="0" w:type="dxa"/>
            </w:tcMar>
            <w:vAlign w:val="top"/>
          </w:tcPr>
          <w:p>
            <w:r>
              <w:rPr>
                <w:rFonts w:ascii="宋体" w:hAnsi="宋体" w:eastAsia="宋体" w:cs="宋体"/>
                <w:color w:val="000000"/>
                <w:sz w:val="20"/>
              </w:rPr>
              <w:t>6.1 理财产品在报告期末投资关联方发行、承销的证券的情况</w:t>
            </w:r>
          </w:p>
        </w:tc>
        <w:tc>
          <w:tcPr>
            <w:gridSpan w:val="4"/>
          </w:tcPr>
          <w:p>
            <w:pPr>
              <w:pStyle w:val="4"/>
            </w:pPr>
          </w:p>
        </w:tc>
        <w:tc>
          <w:p>
            <w:pPr>
              <w:pStyle w:val="4"/>
            </w:pPr>
          </w:p>
        </w:tc>
      </w:tr>
      <w:tr>
        <w:tblPrEx>
          <w:tblCellMar>
            <w:top w:w="0" w:type="dxa"/>
            <w:left w:w="10" w:type="dxa"/>
            <w:bottom w:w="0" w:type="dxa"/>
            <w:right w:w="10" w:type="dxa"/>
          </w:tblCellMar>
        </w:tblPrEx>
        <w:trPr>
          <w:trHeight w:val="3000" w:hRule="exact"/>
        </w:trPr>
        <w:tc>
          <w:p>
            <w:pPr>
              <w:pStyle w:val="4"/>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资产面额（元）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承销商/发行人</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22红豆MTN002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九江银行股份有限公司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23华福C1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华福证券有限责任公司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22连云金控MTN001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24马上消费债02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0"/>
            <w:tcMar>
              <w:top w:w="0" w:type="dxa"/>
              <w:left w:w="0" w:type="dxa"/>
              <w:bottom w:w="0" w:type="dxa"/>
              <w:right w:w="0" w:type="dxa"/>
            </w:tcMar>
            <w:vAlign w:val="top"/>
          </w:tcPr>
          <w:p>
            <w:r>
              <w:rPr>
                <w:rFonts w:ascii="宋体" w:hAnsi="宋体" w:eastAsia="宋体" w:cs="宋体"/>
                <w:color w:val="000000"/>
                <w:sz w:val="20"/>
              </w:rPr>
              <w:t>6.2 理财产品在报告期内其他关联交易</w:t>
            </w:r>
          </w:p>
        </w:tc>
        <w:tc>
          <w:tcPr>
            <w:gridSpan w:val="4"/>
          </w:tcPr>
          <w:p>
            <w:pPr>
              <w:pStyle w:val="4"/>
            </w:pPr>
          </w:p>
        </w:tc>
        <w:tc>
          <w:p>
            <w:pPr>
              <w:pStyle w:val="4"/>
            </w:pPr>
          </w:p>
        </w:tc>
      </w:tr>
      <w:tr>
        <w:tblPrEx>
          <w:tblCellMar>
            <w:top w:w="0" w:type="dxa"/>
            <w:left w:w="10" w:type="dxa"/>
            <w:bottom w:w="0" w:type="dxa"/>
            <w:right w:w="10" w:type="dxa"/>
          </w:tblCellMar>
        </w:tblPrEx>
        <w:trPr>
          <w:trHeight w:val="1800" w:hRule="exact"/>
        </w:trPr>
        <w:tc>
          <w:p>
            <w:pPr>
              <w:pStyle w:val="4"/>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交易标的</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交易金额（万元）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交易类型</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关联方名称</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兴银理财天天万利宝稳利8号D款净值型理财产品</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4.6885</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托管费</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兴银理财天天万利宝稳利8号D款净值型理财产品</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18.9301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销售服务费</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0"/>
            <w:tcMar>
              <w:top w:w="0" w:type="dxa"/>
              <w:left w:w="0" w:type="dxa"/>
              <w:bottom w:w="0" w:type="dxa"/>
              <w:right w:w="0" w:type="dxa"/>
            </w:tcMar>
            <w:vAlign w:val="top"/>
          </w:tcPr>
          <w:p>
            <w:r>
              <w:rPr>
                <w:rFonts w:ascii="宋体" w:hAnsi="宋体" w:eastAsia="宋体" w:cs="宋体"/>
                <w:color w:val="000000"/>
                <w:sz w:val="20"/>
              </w:rPr>
              <w:t>6.3 理财产品在报告期内中的重大关联交易</w:t>
            </w: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资产面额（元）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交易类型</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关联方名称</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无</w:t>
                        </w:r>
                      </w:p>
                    </w:tc>
                    <w:tc>
                      <w:p>
                        <w:pPr>
                          <w:pStyle w:val="4"/>
                        </w:pP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16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16"/>
            <w:tcMar>
              <w:top w:w="0" w:type="dxa"/>
              <w:left w:w="0" w:type="dxa"/>
              <w:bottom w:w="0" w:type="dxa"/>
              <w:right w:w="0" w:type="dxa"/>
            </w:tcMar>
            <w:vAlign w:val="center"/>
          </w:tcPr>
          <w:p>
            <w:pPr>
              <w:jc w:val="left"/>
            </w:pPr>
            <w:r>
              <w:rPr>
                <w:rFonts w:ascii="宋体" w:hAnsi="宋体" w:eastAsia="宋体" w:cs="宋体"/>
                <w:b/>
                <w:color w:val="000000"/>
                <w:sz w:val="21"/>
              </w:rPr>
              <w:t>7.投资账户信息</w:t>
            </w:r>
          </w:p>
        </w:tc>
        <w:tc>
          <w:p>
            <w:pPr>
              <w:pStyle w:val="4"/>
            </w:pPr>
          </w:p>
        </w:tc>
      </w:tr>
      <w:tr>
        <w:tblPrEx>
          <w:tblCellMar>
            <w:top w:w="0" w:type="dxa"/>
            <w:left w:w="10" w:type="dxa"/>
            <w:bottom w:w="0" w:type="dxa"/>
            <w:right w:w="10" w:type="dxa"/>
          </w:tblCellMar>
        </w:tblPrEx>
        <w:trPr>
          <w:trHeight w:val="1200" w:hRule="exact"/>
        </w:trPr>
        <w:tc>
          <w:p>
            <w:pPr>
              <w:pStyle w:val="4"/>
            </w:pPr>
          </w:p>
        </w:tc>
        <w:tc>
          <w:tcPr>
            <w:gridSpan w:val="2"/>
          </w:tcPr>
          <w:p>
            <w:pPr>
              <w:pStyle w:val="4"/>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bookmarkStart w:id="8" w:name="_GoBack" w:colFirst="0" w:colLast="3"/>
                        <w:r>
                          <w:rPr>
                            <w:rFonts w:ascii="宋体" w:hAnsi="宋体" w:eastAsia="宋体" w:cs="宋体"/>
                            <w:b/>
                            <w:color w:val="000000"/>
                            <w:sz w:val="21"/>
                          </w:rPr>
                          <w:t>序号</w:t>
                        </w:r>
                      </w:p>
                    </w:tc>
                  </w:tr>
                </w:tbl>
                <w:p>
                  <w:pPr>
                    <w:pStyle w:val="4"/>
                    <w:jc w:val="cente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账户类型</w:t>
                        </w:r>
                      </w:p>
                    </w:tc>
                  </w:tr>
                </w:tbl>
                <w:p>
                  <w:pPr>
                    <w:pStyle w:val="4"/>
                    <w:jc w:val="cente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账户编号</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账户名称</w:t>
                        </w:r>
                      </w:p>
                    </w:tc>
                  </w:tr>
                </w:tbl>
                <w:p>
                  <w:pPr>
                    <w:pStyle w:val="4"/>
                    <w:jc w:val="cente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jc w:val="cente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托管账户</w:t>
                        </w:r>
                      </w:p>
                    </w:tc>
                  </w:tr>
                </w:tbl>
                <w:p>
                  <w:pPr>
                    <w:pStyle w:val="4"/>
                    <w:jc w:val="cente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051010100101323560</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兴银理财天天万利宝稳利8号D款净值型理财产品</w:t>
                        </w:r>
                      </w:p>
                    </w:tc>
                  </w:tr>
                </w:tbl>
                <w:p>
                  <w:pPr>
                    <w:pStyle w:val="4"/>
                    <w:jc w:val="center"/>
                  </w:pPr>
                </w:p>
              </w:tc>
            </w:tr>
            <w:bookmarkEnd w:id="8"/>
          </w:tbl>
          <w:p>
            <w:pPr>
              <w:pStyle w:val="4"/>
            </w:pPr>
          </w:p>
        </w:tc>
        <w:tc>
          <w:p>
            <w:pPr>
              <w:pStyle w:val="4"/>
            </w:pPr>
          </w:p>
        </w:tc>
      </w:tr>
      <w:tr>
        <w:tblPrEx>
          <w:tblCellMar>
            <w:top w:w="0" w:type="dxa"/>
            <w:left w:w="10" w:type="dxa"/>
            <w:bottom w:w="0" w:type="dxa"/>
            <w:right w:w="10" w:type="dxa"/>
          </w:tblCellMar>
        </w:tblPrEx>
        <w:trPr>
          <w:trHeight w:val="96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4"/>
            <w:tcMar>
              <w:top w:w="0" w:type="dxa"/>
              <w:left w:w="0" w:type="dxa"/>
              <w:bottom w:w="0" w:type="dxa"/>
              <w:right w:w="0" w:type="dxa"/>
            </w:tcMar>
            <w:vAlign w:val="center"/>
          </w:tcPr>
          <w:p>
            <w:pPr>
              <w:jc w:val="right"/>
            </w:pPr>
            <w:r>
              <w:rPr>
                <w:rFonts w:ascii="宋体" w:hAnsi="宋体" w:eastAsia="宋体" w:cs="宋体"/>
                <w:color w:val="000000"/>
                <w:sz w:val="21"/>
              </w:rPr>
              <w:t>兴银理财有限责任公司</w:t>
            </w: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4"/>
            <w:tcMar>
              <w:top w:w="0" w:type="dxa"/>
              <w:left w:w="0" w:type="dxa"/>
              <w:bottom w:w="0" w:type="dxa"/>
              <w:right w:w="0" w:type="dxa"/>
            </w:tcMar>
            <w:vAlign w:val="top"/>
          </w:tcPr>
          <w:p>
            <w:pPr>
              <w:jc w:val="right"/>
            </w:pPr>
            <w:r>
              <w:rPr>
                <w:rFonts w:ascii="宋体" w:hAnsi="宋体" w:eastAsia="宋体" w:cs="宋体"/>
                <w:color w:val="000000"/>
                <w:sz w:val="21"/>
              </w:rPr>
              <w:t>2024年10月25日</w:t>
            </w:r>
          </w:p>
        </w:tc>
        <w:tc>
          <w:tcPr>
            <w:gridSpan w:val="4"/>
          </w:tcPr>
          <w:p>
            <w:pPr>
              <w:pStyle w:val="4"/>
            </w:pPr>
          </w:p>
        </w:tc>
        <w:tc>
          <w:p>
            <w:pPr>
              <w:pStyle w:val="4"/>
            </w:pPr>
          </w:p>
        </w:tc>
      </w:tr>
      <w:tr>
        <w:tblPrEx>
          <w:tblCellMar>
            <w:top w:w="0" w:type="dxa"/>
            <w:left w:w="10" w:type="dxa"/>
            <w:bottom w:w="0" w:type="dxa"/>
            <w:right w:w="10" w:type="dxa"/>
          </w:tblCellMar>
        </w:tblPrEx>
        <w:trPr>
          <w:trHeight w:val="2735"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2"/>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8/</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3"/>
          </w:tcPr>
          <w:p>
            <w:pPr>
              <w:pStyle w:val="4"/>
            </w:pPr>
          </w:p>
        </w:tc>
        <w:tc>
          <w:tcPr>
            <w:gridSpan w:val="4"/>
          </w:tcPr>
          <w:p>
            <w:pPr>
              <w:pStyle w:val="4"/>
            </w:pPr>
          </w:p>
        </w:tc>
        <w:tc>
          <w:p>
            <w:pPr>
              <w:pStyle w:val="4"/>
            </w:pPr>
          </w:p>
        </w:tc>
      </w:tr>
    </w:tbl>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cumentProtection w:enforcement="0"/>
  <w:defaultTabStop w:val="800"/>
  <w:compat>
    <w:useFELayout/>
    <w:splitPgBreakAndParaMark/>
    <w:compatSetting w:name="compatibilityMode" w:uri="http://schemas.microsoft.com/office/word" w:val="12"/>
  </w:compat>
  <w:rsids>
    <w:rsidRoot w:val="00000000"/>
    <w:rsid w:val="03FB2DD2"/>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2024-10-21T10:46:23Z</dcterms:created>
  <dc:creator>wot_wanglinbo_zy</dc:creator>
  <cp:lastModifiedBy>wot_wanglinbo_zy</cp:lastModifiedBy>
  <dcterms:modified xsi:type="dcterms:W3CDTF">2024-10-21T10:47:13Z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