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兴业银行天天万利宝稳利6号S款净值型理财产品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兴业银行天天万利宝稳利6号S款净值型理财产品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9K209230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Z7002021000188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978,059,844.97份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910,733,360.67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49,248,397.58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1,874,602.70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16,203,484.02</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业绩比较基准（9K20923A）：人民银行活期存款利率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业绩比较基准（9K20923B）：人民银行活期存款利率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业绩比较基准（9K20923C）：人民银行活期存款利率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业绩比较基准（9K20923D）：人民银行活期存款利率</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（2）兴业银行天天万利宝稳利6号S款净值型理财产品成立于2021年07月14日，数据截止至2024年09月30日。过往业绩是由兴银理财有限责任公司计算并确认后所提供的数据。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285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1.09727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1,073,193,915.24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1.09816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1.10129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1,000,127,545.38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1.08876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1.08876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53,619,500.29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1.09863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1.09863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2,059,495.50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1.07306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1.07306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17,387,374.07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三季度债券市场波动加大，期间主要受到央行调控长端利率、超预期降息以及季末稳增长组合政策出台等因素影响，整体呈现宽幅震荡走势；信用债市场则呈现“V”型走势，信用利差从收窄到历史极低位后出现持续走阔。回顾三季度，债市行情可以分为三个阶段：</w:t>
            </w:r>
            <w:r>
              <w:rPr>
                <w:rFonts w:ascii="宋体" w:hAnsi="宋体" w:eastAsia="宋体" w:cs="宋体"/>
                <w:color w:val="000000"/>
                <w:sz w:val="21"/>
              </w:rPr>
              <w:br w:type="textWrapping"/>
            </w:r>
            <w:r>
              <w:rPr>
                <w:rFonts w:ascii="宋体" w:hAnsi="宋体" w:eastAsia="宋体" w:cs="宋体"/>
                <w:color w:val="000000"/>
                <w:sz w:val="21"/>
              </w:rPr>
              <w:t xml:space="preserve">    第一阶段（7月初至8月初）：7月初，央行公告借入国债，在央行调控长端利率的担忧下，债券收益率曾一度上行，但伴随超预期降息落地和银行存款利率进一步下调，配置和交易需求升温，收益率快速下行。信用利差则在这个过程中全线收窄至历史极低位。</w:t>
            </w:r>
            <w:r>
              <w:rPr>
                <w:rFonts w:ascii="宋体" w:hAnsi="宋体" w:eastAsia="宋体" w:cs="宋体"/>
                <w:color w:val="000000"/>
                <w:sz w:val="21"/>
              </w:rPr>
              <w:br w:type="textWrapping"/>
            </w:r>
            <w:r>
              <w:rPr>
                <w:rFonts w:ascii="宋体" w:hAnsi="宋体" w:eastAsia="宋体" w:cs="宋体"/>
                <w:color w:val="000000"/>
                <w:sz w:val="21"/>
              </w:rPr>
              <w:t xml:space="preserve">    第二阶段（8 月上旬至9 月下旬）：8月上旬，央行开始指导大行卖债和做市商限制长债做市，债券收益率快速回调；此后伴随降准降息以及存量房贷利率下调预期，收益率重新开始下行，10年期国债收益率一度降至2.04%的低点。此阶段，信用债市场虽有所修复，但在预防性流动性需求的预期下，表现弱于利率，信用利差不断走阔。</w:t>
            </w:r>
            <w:r>
              <w:rPr>
                <w:rFonts w:ascii="宋体" w:hAnsi="宋体" w:eastAsia="宋体" w:cs="宋体"/>
                <w:color w:val="000000"/>
                <w:sz w:val="21"/>
              </w:rPr>
              <w:br w:type="textWrapping"/>
            </w:r>
            <w:r>
              <w:rPr>
                <w:rFonts w:ascii="宋体" w:hAnsi="宋体" w:eastAsia="宋体" w:cs="宋体"/>
                <w:color w:val="000000"/>
                <w:sz w:val="21"/>
              </w:rPr>
              <w:t xml:space="preserve">    第三阶段（9月下旬至9月底）：9月24日开始，国新办发布会拉股市、稳楼市、宽货币各项政策打包放出，政治局会议提前讨论经济议题，一举扭转了市场的政策预期和风险偏好，债市出现大幅调整。信用债市场也在月底开始出现抛售，利差进一步走阔。</w:t>
            </w:r>
            <w:r>
              <w:rPr>
                <w:rFonts w:ascii="宋体" w:hAnsi="宋体" w:eastAsia="宋体" w:cs="宋体"/>
                <w:color w:val="000000"/>
                <w:sz w:val="21"/>
              </w:rPr>
              <w:br w:type="textWrapping"/>
            </w:r>
            <w:r>
              <w:rPr>
                <w:rFonts w:ascii="宋体" w:hAnsi="宋体" w:eastAsia="宋体" w:cs="宋体"/>
                <w:color w:val="000000"/>
                <w:sz w:val="21"/>
              </w:rPr>
              <w:t xml:space="preserve">    三季度整体来看，收益率方面1年NCD、1年国债、10年国债、30年国债、信用债3年AAA、3年AA+、5年AAA、5年AA+分别变动-3BP、-17BP、-5BP、-7BP、+19BP、+20bp、+14bp、+18bp; 信用利差方面3年AAA、3年AA+、5年AAA、5年AA+分别变动+25BP、+26BP、+22BP、+26BP。</w:t>
            </w:r>
            <w:r>
              <w:rPr>
                <w:rFonts w:ascii="宋体" w:hAnsi="宋体" w:eastAsia="宋体" w:cs="宋体"/>
                <w:color w:val="000000"/>
                <w:sz w:val="21"/>
              </w:rPr>
              <w:br w:type="textWrapping"/>
            </w:r>
            <w:r>
              <w:rPr>
                <w:rFonts w:ascii="宋体" w:hAnsi="宋体" w:eastAsia="宋体" w:cs="宋体"/>
                <w:color w:val="000000"/>
                <w:sz w:val="21"/>
              </w:rPr>
              <w:t xml:space="preserve">    产品运作上，7月下旬超预期降息后，信用利差不断创新低过程中，产品逐步降低底仓信用债的占比和久期，增强组合流动性；同时保留利率品种的交易仓位，逢高加仓二永债及中长久期利率债，进行波段操作，适时增厚组合</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92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收益。</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二、2024四季度投资策略展望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短期预计继续维持区间震荡，重点关注交易性机会、品种选择。基本面来看，经济向上动能尤其是持续性仍有待验证，若宏观调控政策不能明显发力，经济修复斜率较难大幅抬升。货币方面，货币宽松仍是当下支持经济企稳回升的必要条件，二次降准、存量房贷利率调降、LPR和存款利率调降等预期下，利率不具备大幅上行的基础。机构行为方面，资产荒的核心逻辑仍然存在，且当前债券收益率和利差水平已具备一定配置性价比。但四季度，债市扰动明显增多，且不排除影响债券方向选择的因素发生，包括大规模财政刺激与政策落地、政府债发行提速、投资者风险偏好回升、理财机构负债波动以及经济数据可能出现阶段性改善等。</w:t>
            </w:r>
            <w:r>
              <w:rPr>
                <w:rFonts w:ascii="宋体" w:hAnsi="宋体" w:eastAsia="宋体" w:cs="宋体"/>
                <w:color w:val="000000"/>
                <w:sz w:val="21"/>
              </w:rPr>
              <w:br w:type="textWrapping"/>
            </w:r>
            <w:r>
              <w:rPr>
                <w:rFonts w:ascii="宋体" w:hAnsi="宋体" w:eastAsia="宋体" w:cs="宋体"/>
                <w:color w:val="000000"/>
                <w:sz w:val="21"/>
              </w:rPr>
              <w:t xml:space="preserve">    下阶段总体策略更加灵活调整久期，保持一定组合流动性，积极把握短期因素冲击调整带来的波段操作机会；同时积极关注存单、中短期信用债等确定性更强的品种，受益于新一轮地方化债的中短期城投债，以及年底的机构配置行情。</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69.41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36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永诚永兴分红2号持有定期存款(11DP232301)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63,022,988.01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永诚永兴分红2号持有定期存款(11DP231124)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42,232,118.19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永诚永兴分红2号持有定期存款(11DP231126)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35,095,570.70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永诚永兴分红2号持有定期存款(11DP232305)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34,973,798.21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永诚永兴分红2号持有定期存款(11DP231111)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28,339,194.67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永诚永兴分红2号持有定期存款(11DP231121)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28,211,677.06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永诚永兴分红2号持有定期存款(11DP232297)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28,060,581.95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永诚永兴分红2号持有定期存款(11DP232298)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28,060,581.95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永诚永兴分红2号持有定期存款(11DP232299)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28,029,403.59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永诚永兴分红2号持有定期存款(11DP232304)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27,979,038.55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4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兴业信托·兴享稳鑫3号集合资金信托计划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兴瀚资管-兴添翼54号集合资产管理计划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0.5860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兴业信托·兴享稳鑫11号集合资金信托计划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兴业信托·兴享稳鑫5号集合资金信托计划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0.0371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兴业银行天天万利宝稳利6号S款净值型理财产品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8.7401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兴业银行天天万利宝稳利6号S款净值型理财产品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0.0442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兴业银行天天万利宝稳利6号S款净值型理财产品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31.7483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051010100101200562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兴业银行天天万利宝稳利6号S款净值型理财产品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153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AE347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2024-10-21T10:37:41Z</dcterms:created>
  <dc:creator>wot_wanglinbo_zy</dc:creator>
  <cp:lastModifiedBy>wot_wanglinbo_zy</cp:lastModifiedBy>
  <dcterms:modified xsi:type="dcterms:W3CDTF">2024-10-21T10:38:36Z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