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兴银理财稳利丰收封闭式82号固收类理财产品2024年第三季度报告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兴银理财稳利丰收封闭式82号固收类理财产品</w:t>
            </w:r>
            <w:r>
              <w:rPr>
                <w:rFonts w:ascii="宋体" w:hAnsi="宋体" w:eastAsia="宋体" w:cs="宋体"/>
                <w:b/>
                <w:color w:val="000000"/>
                <w:sz w:val="32"/>
              </w:rPr>
              <w:br w:type="textWrapping"/>
            </w:r>
            <w:r>
              <w:rPr>
                <w:rFonts w:ascii="宋体" w:hAnsi="宋体" w:eastAsia="宋体" w:cs="宋体"/>
                <w:b/>
                <w:color w:val="000000"/>
                <w:sz w:val="32"/>
              </w:rPr>
              <w:t>2024年第三季度报告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报告送出日期：2024年10月25日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兴银理财稳利丰收封闭式82号固收类理财产品2024年第三季度报告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兴银理财稳利丰收封闭式82号固收类理财产品2024年第三季度报告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兴银理财稳利丰收封闭式82号固收类理财产品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9C310820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Z7002023001071</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168,129,635份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稳利丰收封闭式82号A（安享款）</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9C31082A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132,372,728.00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稳利丰收封闭式82号B（安享款）</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9C31082B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27,539,447.00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稳利丰收封闭式82号C（安享款）</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9C31082C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8,217,460.00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7"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兴银理财稳利丰收封闭式82号固收类理财产品2024年第三季度报告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9C31082A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9C31082B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9C31082C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0.19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业绩比较基准（9C31082A）：2.80%--4.00%</w:t>
            </w:r>
            <w:r>
              <w:rPr>
                <w:rFonts w:ascii="宋体" w:hAnsi="宋体" w:eastAsia="宋体" w:cs="宋体"/>
                <w:color w:val="000000"/>
                <w:sz w:val="21"/>
              </w:rPr>
              <w:br w:type="textWrapping"/>
            </w:r>
            <w:r>
              <w:rPr>
                <w:rFonts w:ascii="宋体" w:hAnsi="宋体" w:eastAsia="宋体" w:cs="宋体"/>
                <w:color w:val="000000"/>
                <w:sz w:val="21"/>
              </w:rPr>
              <w:t>业绩比较基准（9C31082B）：2.90%--4.10%</w:t>
            </w:r>
            <w:r>
              <w:rPr>
                <w:rFonts w:ascii="宋体" w:hAnsi="宋体" w:eastAsia="宋体" w:cs="宋体"/>
                <w:color w:val="000000"/>
                <w:sz w:val="21"/>
              </w:rPr>
              <w:br w:type="textWrapping"/>
            </w:r>
            <w:r>
              <w:rPr>
                <w:rFonts w:ascii="宋体" w:hAnsi="宋体" w:eastAsia="宋体" w:cs="宋体"/>
                <w:color w:val="000000"/>
                <w:sz w:val="21"/>
              </w:rPr>
              <w:t>业绩比较基准（9C31082C）：3.05%--4.25%</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（2）兴银理财稳利丰收封闭式82号固收类理财产品成立于2024年05月16日，数据截止至2024年09月30日。过往业绩是由兴银理财有限责任公司计算并确认后所提供的数据。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9C310820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169,945,144.65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9C31082A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1.01069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1.01069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133,787,760.07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9C31082B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27,844,285.76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9C31082C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1.01164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1.01164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8,313,098.82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9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4" w:name="JR_PAGE_ANCHOR_0_5"/>
            <w:bookmarkEnd w:id="4"/>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兴银理财稳利丰收封闭式82号固收类理财产品2024年第三季度报告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p>
            <w:pPr>
              <w:pStyle w:val="4"/>
            </w:pPr>
          </w:p>
        </w:tc>
      </w:tr>
      <w:tr>
        <w:tblPrEx>
          <w:tblCellMar>
            <w:top w:w="0" w:type="dxa"/>
            <w:left w:w="10" w:type="dxa"/>
            <w:bottom w:w="0" w:type="dxa"/>
            <w:right w:w="10" w:type="dxa"/>
          </w:tblCellMar>
        </w:tblPrEx>
        <w:trPr>
          <w:gridAfter w:val="4"/>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9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虞汉阳先生，浙江大学工学博士，CFA，现任兴银理财专户投资部高级投资经理。2023年加入兴业银理财，历任中国农业银行金融市场部高级交易员，西部证券固定收益部投资经理，现任兴银理财专户投资部高级投资经理。拥有5年账户管理经历，具有丰富的组合管理及债券投资经验，擅长宏观利率择时及衍生品套利交易。</w:t>
            </w:r>
          </w:p>
        </w:tc>
        <w:tc>
          <w:p>
            <w:pPr>
              <w:pStyle w:val="4"/>
            </w:pPr>
          </w:p>
        </w:tc>
      </w:tr>
      <w:tr>
        <w:tblPrEx>
          <w:tblCellMar>
            <w:top w:w="0" w:type="dxa"/>
            <w:left w:w="10" w:type="dxa"/>
            <w:bottom w:w="0" w:type="dxa"/>
            <w:right w:w="10" w:type="dxa"/>
          </w:tblCellMar>
        </w:tblPrEx>
        <w:trPr>
          <w:gridAfter w:val="4"/>
          <w:trHeight w:val="7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p>
            <w:pPr>
              <w:pStyle w:val="4"/>
            </w:pPr>
          </w:p>
        </w:tc>
      </w:tr>
      <w:tr>
        <w:tblPrEx>
          <w:tblCellMar>
            <w:top w:w="0" w:type="dxa"/>
            <w:left w:w="10" w:type="dxa"/>
            <w:bottom w:w="0" w:type="dxa"/>
            <w:right w:w="10" w:type="dxa"/>
          </w:tblCellMar>
        </w:tblPrEx>
        <w:trPr>
          <w:gridAfter w:val="4"/>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99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一、2024年三季度市场回顾与产品投资策略</w:t>
            </w:r>
            <w:r>
              <w:rPr>
                <w:rFonts w:ascii="宋体" w:hAnsi="宋体" w:eastAsia="宋体" w:cs="宋体"/>
                <w:color w:val="000000"/>
                <w:sz w:val="21"/>
              </w:rPr>
              <w:br w:type="textWrapping"/>
            </w:r>
            <w:r>
              <w:rPr>
                <w:rFonts w:ascii="宋体" w:hAnsi="宋体" w:eastAsia="宋体" w:cs="宋体"/>
                <w:color w:val="000000"/>
                <w:sz w:val="21"/>
              </w:rPr>
              <w:t>1、三季度市场回顾</w:t>
            </w:r>
            <w:r>
              <w:rPr>
                <w:rFonts w:ascii="宋体" w:hAnsi="宋体" w:eastAsia="宋体" w:cs="宋体"/>
                <w:color w:val="000000"/>
                <w:sz w:val="21"/>
              </w:rPr>
              <w:br w:type="textWrapping"/>
            </w:r>
            <w:r>
              <w:rPr>
                <w:rFonts w:ascii="宋体" w:hAnsi="宋体" w:eastAsia="宋体" w:cs="宋体"/>
                <w:color w:val="000000"/>
                <w:sz w:val="21"/>
              </w:rPr>
              <w:t xml:space="preserve">    三季度以来债市表现震荡，收益率先下后上。10年国债收益率下行5BP至2.15%附近，30年国债收益率下行10bp至2.35%附近。1年国股NCD下行约5BP至1.90%，2-3年AA+信用债上行约15-20BP至2.43%附近。4-5年国股二级收益率上行20BP至2.40%，国股永续上行30BP至2.6%附近。</w:t>
            </w:r>
            <w:r>
              <w:rPr>
                <w:rFonts w:ascii="宋体" w:hAnsi="宋体" w:eastAsia="宋体" w:cs="宋体"/>
                <w:color w:val="000000"/>
                <w:sz w:val="21"/>
              </w:rPr>
              <w:br w:type="textWrapping"/>
            </w:r>
            <w:r>
              <w:rPr>
                <w:rFonts w:ascii="宋体" w:hAnsi="宋体" w:eastAsia="宋体" w:cs="宋体"/>
                <w:color w:val="000000"/>
                <w:sz w:val="21"/>
              </w:rPr>
              <w:t xml:space="preserve">    回顾三季度，基本面表现整体维持偏弱态势，对债市利多，但宏观政策加码、央行管控收益率曲线、预防性赎回的机构行为等利空因素导致债市在季末出现调整。具体看基本面，出口对经济有一定支撑，但同比增速有所回落；地产成交量价仍处于低位，刺激政策的后续效果仍待观察；基建投资表现仍偏弱，施工面积持续低于往年同期；工业品库存压力仍在，价格持续下行；消费方面，以旧换新政策发力，叠加双节效应，社零消费预计将有所改善。价格指标方面，CPI低位运行略有回升，PPI降幅持续扩大。社会融资需求较弱，政府债券融资为主要支撑。监管及机构行为方面，7月央行下调7天逆回购操作利率价格，LPR利率跟随降息，债市情绪高涨，各期限收益率均有所下行。8月因央行提示利率快速下行风险，引发市场回调，长端调整幅度较大，收益率曲线走陡，月中伴随MLF利率降息，市场趋稳，月底资金面收敛，理财、基金预防性赎回引发市场震荡。9月信用债收益率企稳且逐渐修复，季末因宽松政策加码、权益大涨、市场风险偏好回升导致债券市场快速调整，信用债各期限收益率均大幅上行。</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三季度前期产品采取票息策略及久期策略，整体保持中性杠杆。中期逐步兑现收益，在震荡期间快速降低产品杠杆及久期，提升低波资产占比。后期市场超跌调整，保证流动性的前提下，以少量仓位参与流动性较好的中高等级信用债品种交易，增厚收益。受季末市场剧烈震荡影响，部分产品净值出现一定波动。</w:t>
            </w:r>
            <w:r>
              <w:rPr>
                <w:rFonts w:ascii="宋体" w:hAnsi="宋体" w:eastAsia="宋体" w:cs="宋体"/>
                <w:color w:val="000000"/>
                <w:sz w:val="21"/>
              </w:rPr>
              <w:br w:type="textWrapping"/>
            </w:r>
            <w:r>
              <w:rPr>
                <w:rFonts w:ascii="宋体" w:hAnsi="宋体" w:eastAsia="宋体" w:cs="宋体"/>
                <w:color w:val="000000"/>
                <w:sz w:val="21"/>
              </w:rPr>
              <w:t>二、2024年四季度展望与投资策略</w:t>
            </w:r>
            <w:r>
              <w:rPr>
                <w:rFonts w:ascii="宋体" w:hAnsi="宋体" w:eastAsia="宋体" w:cs="宋体"/>
                <w:color w:val="000000"/>
                <w:sz w:val="21"/>
              </w:rPr>
              <w:br w:type="textWrapping"/>
            </w:r>
            <w:r>
              <w:rPr>
                <w:rFonts w:ascii="宋体" w:hAnsi="宋体" w:eastAsia="宋体" w:cs="宋体"/>
                <w:color w:val="000000"/>
                <w:sz w:val="21"/>
              </w:rPr>
              <w:t>1、2024年四季度展望</w:t>
            </w:r>
            <w:r>
              <w:rPr>
                <w:rFonts w:ascii="宋体" w:hAnsi="宋体" w:eastAsia="宋体" w:cs="宋体"/>
                <w:color w:val="000000"/>
                <w:sz w:val="21"/>
              </w:rPr>
              <w:br w:type="textWrapping"/>
            </w:r>
            <w:r>
              <w:rPr>
                <w:rFonts w:ascii="宋体" w:hAnsi="宋体" w:eastAsia="宋体" w:cs="宋体"/>
                <w:color w:val="000000"/>
                <w:sz w:val="21"/>
              </w:rPr>
              <w:t xml:space="preserve">    本次信用债调整主要基于权益市场风险偏好回升带来的流动性压力。考虑到弱复苏、低通胀的宏观经济基本面短期并无太大变化，通缩螺旋压力仍在，基本面仍支撑债市。货币政策方面，年内择机进一步降准25-50BP预期仍在，而若财政发力也需宽松货币政策支持，整体上宽货币预期仍在，对债市有利。基本面拐点仍需等待，对债市形成支撑，社融和经济数据显示内需不足，PMI及通胀数据体现经济回落压力较大；此外GDP平减指数仍为负值，实际利率处在高位，通缩风险加剧。复盘历史股债走势真正逆转需要PMI大幅回到荣枯线以上、PPI数据大幅转正，目前看仍不现实。整体而言，对后续债市维持震荡偏多判断。财政部的新闻发布会提出拟一次性增加较大规模债务限额，置换地方政府存量隐性债务利好中长期城投债。超调后的信用债出现较好买点。</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在震荡环境中以票息策略为主，保持中性组合杠杆和中性久期。在保证组合流动性安全的情况下，超跌过程中适度参与波段交易，以增厚组合收益。</w:t>
            </w:r>
          </w:p>
        </w:tc>
        <w:tc>
          <w:p>
            <w:pPr>
              <w:pStyle w:val="4"/>
            </w:pPr>
          </w:p>
        </w:tc>
      </w:tr>
      <w:tr>
        <w:tblPrEx>
          <w:tblCellMar>
            <w:top w:w="0" w:type="dxa"/>
            <w:left w:w="10" w:type="dxa"/>
            <w:bottom w:w="0" w:type="dxa"/>
            <w:right w:w="10" w:type="dxa"/>
          </w:tblCellMar>
        </w:tblPrEx>
        <w:trPr>
          <w:gridAfter w:val="4"/>
          <w:trHeight w:val="8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兴银理财稳利丰收封闭式82号固收类理财产品2024年第三季度报告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8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99.39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99.98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36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24黄岛Y2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5,064,007.10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24巴洲文旅MTN001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4,991,080.47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20合川01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4,796,303.52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22共享工业PPN001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4,789,220.95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24长寿投资MTN001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4,750,960.10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兴银理财稳利丰收封闭式82号固收类理财产品2024年第三季度报告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22沣控01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4,744,212.59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20鑫泰02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4,607,378.42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22迈瑞城投PPN002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4,453,862.17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21渝合01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4,009,372.23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20渝合02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3,669,412.44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兴银理财稳利丰收封闭式82号固收类理财产品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1.2895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bookmarkStart w:id="8" w:name="_GoBack" w:colFirst="0" w:colLast="3"/>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051010100101752529</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兴银理财稳利丰收封闭式82号固收类理财产品</w:t>
                        </w:r>
                      </w:p>
                    </w:tc>
                  </w:tr>
                </w:tbl>
                <w:p>
                  <w:pPr>
                    <w:pStyle w:val="4"/>
                    <w:jc w:val="center"/>
                  </w:pPr>
                </w:p>
              </w:tc>
            </w:tr>
            <w:bookmarkEnd w:id="8"/>
          </w:tbl>
          <w:p>
            <w:pPr>
              <w:pStyle w:val="4"/>
            </w:pPr>
          </w:p>
        </w:tc>
        <w:tc>
          <w:p>
            <w:pPr>
              <w:pStyle w:val="4"/>
            </w:pPr>
          </w:p>
        </w:tc>
      </w:tr>
      <w:tr>
        <w:tblPrEx>
          <w:tblCellMar>
            <w:top w:w="0" w:type="dxa"/>
            <w:left w:w="10" w:type="dxa"/>
            <w:bottom w:w="0" w:type="dxa"/>
            <w:right w:w="10" w:type="dxa"/>
          </w:tblCellMar>
        </w:tblPrEx>
        <w:trPr>
          <w:trHeight w:val="1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7" w:name="JR_PAGE_ANCHOR_0_8"/>
            <w:bookmarkEnd w:id="7"/>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兴银理财稳利丰收封闭式82号固收类理财产品2024年第三季度报告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2024年10月25日</w:t>
            </w:r>
          </w:p>
        </w:tc>
        <w:tc>
          <w:p>
            <w:pPr>
              <w:pStyle w:val="4"/>
            </w:pPr>
          </w:p>
        </w:tc>
      </w:tr>
      <w:tr>
        <w:tblPrEx>
          <w:tblCellMar>
            <w:top w:w="0" w:type="dxa"/>
            <w:left w:w="10" w:type="dxa"/>
            <w:bottom w:w="0" w:type="dxa"/>
            <w:right w:w="10" w:type="dxa"/>
          </w:tblCellMar>
        </w:tblPrEx>
        <w:trPr>
          <w:gridAfter w:val="4"/>
          <w:trHeight w:val="13255"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bl>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244C0BA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2024-10-21T07:26:47Z</dcterms:created>
  <dc:creator>wot_wanglinbo_zy</dc:creator>
  <cp:lastModifiedBy>wot_wanglinbo_zy</cp:lastModifiedBy>
  <dcterms:modified xsi:type="dcterms:W3CDTF">2024-10-21T07:39:03Z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