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兴银理财添利9号净值型理财产品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6"/>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r>
              <w:rPr>
                <w:rFonts w:ascii="宋体" w:hAnsi="宋体" w:eastAsia="宋体" w:cs="宋体"/>
                <w:color w:val="000000"/>
                <w:sz w:val="21"/>
              </w:rPr>
              <w:br w:type="textWrapping"/>
            </w:r>
            <w:r>
              <w:rPr>
                <w:rFonts w:ascii="宋体" w:hAnsi="宋体" w:eastAsia="宋体" w:cs="宋体"/>
                <w:color w:val="000000"/>
                <w:sz w:val="21"/>
              </w:rPr>
              <w:t xml:space="preserve">     8.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6"/>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6"/>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6"/>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兴银理财添利9号净值型理财产品</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9B310005</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Z7002020000173</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59,305,878,176.67份</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6"/>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兴银添利宝（中信专属）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6,486,717,119.21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添利天天赢</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4,967,416,371.78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13,725,914,951.75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10,464,258,701.44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4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78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兴银添利宝E</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9B310055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1,339,992,822.99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兴银添利宝F-浦发专属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9B310065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2,217,165,409.56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兴银添利宝G</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9B310075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2,782,538,737.04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兴银添利9号H</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9B310085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8,019,307,044.89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兴银添利宝I</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6,463,422,450.38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兴银添利宝J</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9B310105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526,379,445.80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兴银添利宝K</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106,030,273.11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兴银添利宝M</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1,415,798,972.50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兴银添利宝N</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83,907,790.30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兴银添利宝O</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99,906,686.01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兴银添利宝P</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9B310155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602,912,016.28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添利9号T</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9B3101T5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4,209,383.63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8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gridAfter w:val="6"/>
          <w:trHeight w:val="4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322"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4920" w:hRule="atLeast"/>
        </w:trPr>
        <w:tc>
          <w:p>
            <w:pPr>
              <w:pStyle w:val="4"/>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业绩比较基准（9B310015）：通知存款七天+浮动基数0%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业绩比较基准（9B310025）：通知存款七天+浮动基数0%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业绩比较基准（9B310035）：通知存款七天+浮动基数0%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业绩比较基准（9B310045）：通知存款七天+浮动基数0%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业绩比较基准（9B310055）：通知存款七天+浮动基数0%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业绩比较基准（9B310065）：通知存款七天+浮动基数0%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业绩比较基准（9B310075）：通知存款七天+浮动基数0%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业绩比较基准（9B310085）：通知存款七天+浮动基数0%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业绩比较基准（9B310095）：通知存款七天+浮动基数0%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业绩比较基准（9B310105）：通知存款七天+浮动基数0%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业绩比较基准（9B310115）：通知存款七天+浮动基数0%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业绩比较基准（9B310135）：通知存款七天+浮动基数0%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业绩比较基准（9B310145）：通知存款七天+浮动基数0%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业绩比较基准（9B310155）：通知存款七天+浮动基数0%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业绩比较基准（9B3101T5）：通知存款七天+浮动基数0%</w:t>
            </w:r>
          </w:p>
        </w:tc>
        <w:tc>
          <w:p>
            <w:pPr>
              <w:pStyle w:val="4"/>
            </w:pPr>
          </w:p>
        </w:tc>
      </w:tr>
      <w:tr>
        <w:tblPrEx>
          <w:tblCellMar>
            <w:top w:w="0" w:type="dxa"/>
            <w:left w:w="10" w:type="dxa"/>
            <w:bottom w:w="0" w:type="dxa"/>
            <w:right w:w="10" w:type="dxa"/>
          </w:tblCellMar>
        </w:tblPrEx>
        <w:trPr>
          <w:gridAfter w:val="6"/>
          <w:trHeight w:val="2820" w:hRule="atLeast"/>
        </w:trPr>
        <w:tc>
          <w:p>
            <w:pPr>
              <w:pStyle w:val="4"/>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（2）兴银理财添利9号净值型理财产品成立于2020年10月27日，数据截止至2024年09月30日。过往业绩是由兴银理财有限责任公司计算并确认后所提供的数据。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gridAfter w:val="6"/>
          <w:trHeight w:val="6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color w:val="000000"/>
                <w:sz w:val="21"/>
              </w:rPr>
              <w:t>报告期末，产品收益具体如下：</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59,305,878,176.67</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10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6,486,717,119.21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4,967,416,371.78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13,725,914,951.75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0.3812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10,464,258,701.44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1,339,992,822.99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2,217,165,409.56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0.4171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2,782,538,737.04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8,019,307,044.89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6,463,422,450.38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526,379,445.80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106,030,273.11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1,415,798,972.50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83,907,790.30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0.3814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99,906,686.01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602,912,016.28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4,209,383.63</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82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w:t>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90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pPr>
          </w:p>
        </w:tc>
      </w:tr>
      <w:tr>
        <w:tblPrEx>
          <w:tblCellMar>
            <w:top w:w="0" w:type="dxa"/>
            <w:left w:w="10" w:type="dxa"/>
            <w:bottom w:w="0" w:type="dxa"/>
            <w:right w:w="10" w:type="dxa"/>
          </w:tblCellMar>
        </w:tblPrEx>
        <w:trPr>
          <w:gridAfter w:val="4"/>
          <w:trHeight w:val="6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7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 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7月央行调整货币政策调控新框架，以OMO利率替代MLF利率作为短期货币市场利率基准，提升货币政策传导效率，平衡资金与信用市场目标，并于月底将7天OMO利率下调10bp至1.7%，一年期和五年期LPR利率同步下调10bp，进一步引导债券短端收益率下行。8月央行开启公开市场国债买卖操作，向部分一级交易商买入短期限国债并卖出长期限国债，以维持国债利率合理期限利差和长端利率水平，避免市场过度投机和潜在金融风险积累；8月下旬市场短暂调整，9月市场波动进一步增大。9月24日央行、证监会、金融监管总局发布一揽子增量政策，9月26日中央政治局提出要“要加大财政货币政策逆周期调节力度，保证必要的财政支出”，“促进房地产市场止跌回稳”，“要努力提振资本市场”；央行在9月27日宣布7天OMO利率下调至1.50%，同时下调金融机构存款准备金率0.5个百分比，体现了央行货币政策逆周期发力的决心。政策发布后，受止盈情绪带动，10年期国债收益率回升至2.2%附近。总体三季度国债收益率呈波动下行趋势，10年期国债收益率最多下行至2.05%，期间调整的阶段性高点摸高至2.25%；同业存单方面，1年期国股行存单在1.85%-2.0%区间内波动。</w:t>
            </w:r>
            <w:r>
              <w:rPr>
                <w:rFonts w:ascii="宋体" w:hAnsi="宋体" w:eastAsia="宋体" w:cs="宋体"/>
                <w:color w:val="000000"/>
                <w:sz w:val="21"/>
              </w:rPr>
              <w:br w:type="textWrapping"/>
            </w:r>
            <w:r>
              <w:rPr>
                <w:rFonts w:ascii="宋体" w:hAnsi="宋体" w:eastAsia="宋体" w:cs="宋体"/>
                <w:color w:val="000000"/>
                <w:sz w:val="21"/>
              </w:rPr>
              <w:t xml:space="preserve">    展望后市需关注此次9月政策对经济提振作用在数据上的体现，同时关注后续相应配套财政政策出台。若四季度内生需求修复不及预期、实体信心提振乏力，为激发资金活性，货币市场和短端利率有望迎来大幅补降，短债债牛行情有望延续，同时也有进一步降息空间；但也应考虑股债的跷跷板效应、警惕流动性风险。</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 前期运作回顾</w:t>
            </w:r>
            <w:r>
              <w:rPr>
                <w:rFonts w:ascii="宋体" w:hAnsi="宋体" w:eastAsia="宋体" w:cs="宋体"/>
                <w:color w:val="000000"/>
                <w:sz w:val="21"/>
              </w:rPr>
              <w:br w:type="textWrapping"/>
            </w:r>
            <w:r>
              <w:rPr>
                <w:rFonts w:ascii="宋体" w:hAnsi="宋体" w:eastAsia="宋体" w:cs="宋体"/>
                <w:color w:val="000000"/>
                <w:sz w:val="21"/>
              </w:rPr>
              <w:t xml:space="preserve">    报告期内，债市调整对于现金产品流动性压力相对不大，较二季度小幅赎回，整体可控。此外在建仓方面，产品在9月27日降息、降准前积极把握建仓机会，品种以半年期大城商存单为主，该品种较国股存单有3bp以上的利差，且信价比明显高于同期利率债。在信用债方面，由于准入门槛提升、信用利差持续收窄等因素影响，整体建仓节奏趋缓。整体上，在保证组合流动性安全的前提下积极把握市场调整的买入机会。</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三 后期投资策略</w:t>
            </w:r>
            <w:r>
              <w:rPr>
                <w:rFonts w:ascii="宋体" w:hAnsi="宋体" w:eastAsia="宋体" w:cs="宋体"/>
                <w:color w:val="000000"/>
                <w:sz w:val="21"/>
              </w:rPr>
              <w:br w:type="textWrapping"/>
            </w:r>
            <w:r>
              <w:rPr>
                <w:rFonts w:ascii="宋体" w:hAnsi="宋体" w:eastAsia="宋体" w:cs="宋体"/>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4"/>
          <w:trHeight w:val="3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7" w:name="JR_PAGE_ANCHOR_0_8"/>
            <w:bookmarkEnd w:id="7"/>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2"/>
          <w:trHeight w:val="4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农业银行昆明分行活期存款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3,231,170,168.64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农业银行广州分行活期存款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2,561,972,537.72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Z存放同业（线上）20240508023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2,523,319,444.12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工商银行活期存款（昆明）</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2,100,127,117.37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农业银行洛阳分行活期存款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2,000,914,512.02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农业银行泉州分行活期存款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1,337,757,625.31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1,252,094,878.12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1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8" w:name="JR_PAGE_ANCHOR_0_9"/>
            <w:bookmarkEnd w:id="8"/>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Z存放同业（线上）20240614003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1,036,798,571.98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Z存放同业（线上）20231106013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1,023,833,332.60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Z存放同业（线上）20231129004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1,023,195,556.92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gridAfter w:val="2"/>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9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24东裕3春裕ABN001优先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23优生活五ABN002优先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23前海南山ABN003优先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24华电租赁ABN001优先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24春风一方ABN002优先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24东裕2秋裕ABN001优先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24东裕3仲裕ABN001优先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24东裕3伯裕ABN001优先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24山西建投4ABN001优先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23徐工机械ABN003优先A1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20,374,200.00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24九江银行CD075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24九江银行CD098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19鲁高02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24泉州发展SCP001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9" w:name="JR_PAGE_ANCHOR_0_10"/>
            <w:bookmarkEnd w:id="9"/>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23红狮CP001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24招商局SCP012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24鲁钢铁SCP004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24冀能股份SCP001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24广西旅发SCP004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24开晟产业SCP001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24物产中大SCP004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24陕建集团SCP006(科创票据)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22吉利MTN001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23潞安MTN002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24潞安MTN001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21鲁能源MTN007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21徐州矿务MTN001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22保利发展MTN004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23晋能电力MTN004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22龙盛MTN001(科创票据)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22盐城资产PPN001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23上合控股PPN003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23吴江城投PPN006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23豫航空港PPN010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21湘高速MTN006(革命老区)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23云投CP004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24云投CP001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10" w:name="JR_PAGE_ANCHOR_0_11"/>
            <w:bookmarkEnd w:id="10"/>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23温江兴蓉CP002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23芯鑫租赁CP001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24一汽租赁CP006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24连云城建CP002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24郴投集团CP001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16青建投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24马上消费债02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债券质押式回购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10.7012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7.8169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501.3593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1,365.9238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兴业信托·兴享稳鑫【1】号债券投资集合资金信托计划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5.8281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0.8478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12"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051010100101101745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jc w:val="center"/>
                  </w:pPr>
                </w:p>
              </w:tc>
            </w:tr>
            <w:bookmarkEnd w:id="12"/>
          </w:tbl>
          <w:p>
            <w:pPr>
              <w:pStyle w:val="4"/>
            </w:pPr>
          </w:p>
        </w:tc>
        <w:tc>
          <w:p>
            <w:pPr>
              <w:pStyle w:val="4"/>
            </w:pPr>
          </w:p>
        </w:tc>
      </w:tr>
      <w:tr>
        <w:tblPrEx>
          <w:tblCellMar>
            <w:top w:w="0" w:type="dxa"/>
            <w:left w:w="10" w:type="dxa"/>
            <w:bottom w:w="0" w:type="dxa"/>
            <w:right w:w="10" w:type="dxa"/>
          </w:tblCellMar>
        </w:tblPrEx>
        <w:trPr>
          <w:gridAfter w:val="2"/>
          <w:trHeight w:val="10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11" w:name="JR_PAGE_ANCHOR_0_12"/>
            <w:bookmarkEnd w:id="11"/>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兴银理财添利9号净值型理财产品2024年第三季度报告</w:t>
            </w: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0"/>
            <w:tcMar>
              <w:top w:w="0" w:type="dxa"/>
              <w:left w:w="0" w:type="dxa"/>
              <w:bottom w:w="0" w:type="dxa"/>
              <w:right w:w="0" w:type="dxa"/>
            </w:tcMar>
            <w:vAlign w:val="center"/>
          </w:tcPr>
          <w:p>
            <w:pPr>
              <w:jc w:val="left"/>
            </w:pPr>
            <w:r>
              <w:rPr>
                <w:rFonts w:ascii="宋体" w:hAnsi="宋体" w:eastAsia="宋体" w:cs="宋体"/>
                <w:b/>
                <w:color w:val="000000"/>
                <w:sz w:val="21"/>
              </w:rPr>
              <w:t>8.影响理财份额投资人决策的其他重要信息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0"/>
            <w:tcMar>
              <w:top w:w="0" w:type="dxa"/>
              <w:left w:w="0" w:type="dxa"/>
              <w:bottom w:w="0" w:type="dxa"/>
              <w:right w:w="0" w:type="dxa"/>
            </w:tcMar>
            <w:vAlign w:val="center"/>
          </w:tcPr>
          <w:p>
            <w:pPr>
              <w:jc w:val="left"/>
            </w:pPr>
            <w:r>
              <w:rPr>
                <w:rFonts w:ascii="宋体" w:hAnsi="宋体" w:eastAsia="宋体" w:cs="宋体"/>
                <w:color w:val="000000"/>
                <w:sz w:val="20"/>
              </w:rPr>
              <w:t xml:space="preserve"> 8.1报告期内单一投资者持有产品份额达到或者超过该产品总份额20%的情形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6"/>
          </w:tcPr>
          <w:p>
            <w:pPr>
              <w:pStyle w:val="4"/>
            </w:pPr>
          </w:p>
        </w:tc>
        <w:tc>
          <w:p>
            <w:pPr>
              <w:pStyle w:val="4"/>
            </w:pPr>
          </w:p>
        </w:tc>
      </w:tr>
      <w:tr>
        <w:tblPrEx>
          <w:tblCellMar>
            <w:top w:w="0" w:type="dxa"/>
            <w:left w:w="10" w:type="dxa"/>
            <w:bottom w:w="0" w:type="dxa"/>
            <w:right w:w="10" w:type="dxa"/>
          </w:tblCellMar>
        </w:tblPrEx>
        <w:trPr>
          <w:trHeight w:val="11118"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12</w:t>
            </w:r>
          </w:p>
        </w:tc>
        <w:tc>
          <w:tcPr>
            <w:gridSpan w:val="3"/>
          </w:tcPr>
          <w:p>
            <w:pPr>
              <w:pStyle w:val="4"/>
            </w:pPr>
          </w:p>
        </w:tc>
        <w:tc>
          <w:tcPr>
            <w:gridSpan w:val="6"/>
          </w:tcPr>
          <w:p>
            <w:pPr>
              <w:pStyle w:val="4"/>
            </w:pPr>
          </w:p>
        </w:tc>
        <w:tc>
          <w:p>
            <w:pPr>
              <w:pStyle w:val="4"/>
            </w:pPr>
          </w:p>
        </w:tc>
      </w:tr>
    </w:tbl>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F403F43"/>
    <w:rsid w:val="55943094"/>
    <w:rsid w:val="719408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2024-10-19T07:56:32Z</dcterms:created>
  <dc:creator>wot_wanglinbo_zy</dc:creator>
  <cp:lastModifiedBy>wot_wanglinbo_zy</cp:lastModifiedBy>
  <dcterms:modified xsi:type="dcterms:W3CDTF">2024-10-19T08:02:34Z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