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兴银理财天天万利宝稳利恒盈7号封闭式净值型理财产品第33期</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兴银理财天天万利宝稳利恒盈7号封闭式净值型理财产品第33期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9N213330</w:t>
            </w:r>
          </w:p>
        </w:tc>
        <w:tc>
          <w:tcPr>
            <w:gridSpan w:val="2"/>
          </w:tcPr>
          <w:p>
            <w:pPr>
              <w:pStyle w:val="4"/>
            </w:pPr>
          </w:p>
        </w:tc>
        <w:tc>
          <w:p>
            <w:pPr>
              <w:pStyle w:val="4"/>
            </w:pPr>
          </w:p>
        </w:tc>
      </w:tr>
      <w:tr>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Z7002022000027</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290,303,565.52份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9N21333A：4.60%--5.10%/5.10%</w:t>
            </w:r>
            <w:r>
              <w:rPr>
                <w:rFonts w:ascii="宋体" w:hAnsi="宋体" w:eastAsia="宋体" w:cs="宋体"/>
                <w:color w:val="000000"/>
                <w:sz w:val="21"/>
              </w:rPr>
              <w:br w:type="textWrapping"/>
            </w:r>
            <w:r>
              <w:rPr>
                <w:rFonts w:ascii="宋体" w:hAnsi="宋体" w:eastAsia="宋体" w:cs="宋体"/>
                <w:color w:val="000000"/>
                <w:sz w:val="21"/>
              </w:rPr>
              <w:t xml:space="preserve">  9N21333B：4.40%--4.90%/4.90%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稳利恒盈7号33期 3年乡村振兴A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9N21333A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261,097,739.03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稳利恒盈7号33期 3年乡村振兴B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9N21333B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29,205,826.49</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产品9N21333A自成立日以来，累计净值增长率为5.7380%，年化累计净值增长率为3.7941%。</w:t>
            </w:r>
            <w:r>
              <w:rPr>
                <w:rFonts w:ascii="宋体" w:hAnsi="宋体" w:eastAsia="宋体" w:cs="宋体"/>
                <w:color w:val="000000"/>
                <w:sz w:val="21"/>
              </w:rPr>
              <w:br w:type="textWrapping"/>
            </w:r>
            <w:r>
              <w:rPr>
                <w:rFonts w:ascii="宋体" w:hAnsi="宋体" w:eastAsia="宋体" w:cs="宋体"/>
                <w:color w:val="000000"/>
                <w:sz w:val="21"/>
              </w:rPr>
              <w:t>产品9N21333B自成立日以来，累计净值增长率为5.4290%，年化累计净值增长率为3.5898%。</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9N213330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1.05707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297,191,823.57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9N21333A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1.05738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267,334,801.93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9N21333B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1.05429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29,857,021.64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95"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2024年一季度债券市场牛市行情快速演绎后进入震荡，市场大致分为三个阶段：1） 年初在降准降息预期下债市做多情绪高涨收益率快速下行，1月24日央行宣布降准，债市进一步下行，利率曲线牛平；2）春节前后中央汇金公告“扩大ETF增持范围，坚决维护资本市场平稳运行”，权益市场回暖上行，债市略有回调，但随着LPR超预期调降25BP，十年国债收益率向下突破2.3%，三年国债收益率向下突破2.5%；3）3月中上旬央行连续低量投放OMO引发市场对于防止资金空转的担忧，叠加止盈情绪升温，债市大幅回调，随着央行表示“法定存款准备金仍有下降空间”以及超长期国债供给方式等消息面扰动，以及基本面数据仍有待修复等因素下，债市趋于震荡。</w:t>
            </w:r>
            <w:r>
              <w:rPr>
                <w:rFonts w:ascii="宋体" w:hAnsi="宋体" w:eastAsia="宋体" w:cs="宋体"/>
                <w:color w:val="000000"/>
                <w:sz w:val="21"/>
              </w:rPr>
              <w:br w:type="textWrapping"/>
            </w:r>
            <w:r>
              <w:rPr>
                <w:rFonts w:ascii="宋体" w:hAnsi="宋体" w:eastAsia="宋体" w:cs="宋体"/>
                <w:color w:val="000000"/>
                <w:sz w:val="21"/>
              </w:rPr>
              <w:t xml:space="preserve">    收益率方面，一季度整体1年NCD、1年国债、10年国债、中短期票据3年AAA、3年AA+、3年AA分别较2023年年末下行17bp、36bp、27bp、21bp、21bp、35bp；信用利差方面3年AAA、3年AA+、3年AA较2023年年末分别收窄4bp、4bp、18bp。</w:t>
            </w:r>
            <w:r>
              <w:rPr>
                <w:rFonts w:ascii="宋体" w:hAnsi="宋体" w:eastAsia="宋体" w:cs="宋体"/>
                <w:color w:val="000000"/>
                <w:sz w:val="21"/>
              </w:rPr>
              <w:br w:type="textWrapping"/>
            </w:r>
            <w:r>
              <w:rPr>
                <w:rFonts w:ascii="宋体" w:hAnsi="宋体" w:eastAsia="宋体" w:cs="宋体"/>
                <w:color w:val="000000"/>
                <w:sz w:val="21"/>
              </w:rPr>
              <w:t xml:space="preserve">    从基本面看，今年1-2月的经济数据和3月PMI均超出预期，指向一季度GDP增速或有上修空间；但当前有效</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9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需求</w:t>
            </w:r>
            <w:bookmarkStart w:id="8" w:name="_GoBack"/>
            <w:bookmarkEnd w:id="8"/>
            <w:r>
              <w:rPr>
                <w:rFonts w:ascii="宋体" w:hAnsi="宋体" w:eastAsia="宋体" w:cs="宋体"/>
                <w:color w:val="000000"/>
                <w:sz w:val="21"/>
              </w:rPr>
              <w:t>不足、价格处于低位、地产供需偏弱、消费仍待改善的问题仍存，稳经济、稳预期仍是政策主要诉求。</w:t>
            </w:r>
            <w:r>
              <w:rPr>
                <w:rFonts w:ascii="宋体" w:hAnsi="宋体" w:eastAsia="宋体" w:cs="宋体"/>
                <w:color w:val="000000"/>
                <w:sz w:val="21"/>
              </w:rPr>
              <w:br w:type="textWrapping"/>
            </w:r>
            <w:r>
              <w:rPr>
                <w:rFonts w:ascii="宋体" w:hAnsi="宋体" w:eastAsia="宋体" w:cs="宋体"/>
                <w:color w:val="000000"/>
                <w:sz w:val="21"/>
              </w:rPr>
              <w:t xml:space="preserve">    产品运作上，1月在降准降息预期下适当提升产品久期，采取久期+杠杆+票息策略；2月春节后数据真空期票息策略为主，随着LPR超预期调降，产品积极配置高流动资产；3月在资金边际收紧、止盈情绪升温的背景下，整体采取防守策略，保证产品流动性为主。整体看，票息资产仍是理财产品收益的重要来源，久期是增强产品收益的关键，产品的主要策略是择高票息优质资产进行配置，逢高灵活运用高流动久期资产增强产品收益。</w:t>
            </w:r>
            <w:r>
              <w:rPr>
                <w:rFonts w:ascii="宋体" w:hAnsi="宋体" w:eastAsia="宋体" w:cs="宋体"/>
                <w:color w:val="000000"/>
                <w:sz w:val="21"/>
              </w:rPr>
              <w:br w:type="textWrapping"/>
            </w:r>
            <w:r>
              <w:rPr>
                <w:rFonts w:ascii="宋体" w:hAnsi="宋体" w:eastAsia="宋体" w:cs="宋体"/>
                <w:color w:val="000000"/>
                <w:sz w:val="21"/>
              </w:rPr>
              <w:t>二、2024二季度投资策略展望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债市仍有机会。货币政策方面，中央强调社融M2同经济增长和价格水平预期目标相匹配，预计二季度社融和M2以稳为主；另一方面，二季度政府债供给回升相对确定，超长特别国债应声发行之下，央行多次表示有降准空间，预计二季度降准概率较高；财政政策方面，今年安排了1万亿元超长期特别国债、7000亿元的中央预算内投资以及3.9万亿元地方政府专项债券，稳增长政策积极推进，需重点关注国债和地方政府债发行节奏；资金面方面，预计整体将继续维持平稳，但资金价格进一步下行有限，或受债券供给影响波动加大。考虑到目前资产荒问题显著以及地产持续疲弱，债市维持在低位运行，趋势反转在短期内尚难发生，但止盈交易或易触发，利率回调或是再度入场的机会。整体上预计二季度债市震荡偏强。</w:t>
            </w:r>
            <w:r>
              <w:rPr>
                <w:rFonts w:ascii="宋体" w:hAnsi="宋体" w:eastAsia="宋体" w:cs="宋体"/>
                <w:color w:val="000000"/>
                <w:sz w:val="21"/>
              </w:rPr>
              <w:br w:type="textWrapping"/>
            </w:r>
            <w:r>
              <w:rPr>
                <w:rFonts w:ascii="宋体" w:hAnsi="宋体" w:eastAsia="宋体" w:cs="宋体"/>
                <w:color w:val="000000"/>
                <w:sz w:val="21"/>
              </w:rPr>
              <w:t xml:space="preserve">    下阶段总体策略维持中性偏低久期，以票息和杠杆策略为主，注重组合流动性，提升组合静态，同时积极把握债市调整形成的波段操作机会博取超额收益，提高组合收益率。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69.10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28.23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22云南能源01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55,602,075.38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渤海信托·2023康乐1号集合资金信托计划合同（江苏先行控股南京分行）</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32,028,293.85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22诸暨城乡09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30,321,151.97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22工行二级资本债03A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20,666,390.93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22建行二级资本债02A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20,531,104.26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22拱墅城投PPN001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17,244,096.00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23中行二级资本债01A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15,515,807.47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22无锡文旅MTN001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15,476,643.20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22威海城投MTN001(绿色)</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15,324,773.44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22武进经发MTN003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14,490,703.21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渤海信托·2023康乐1号集合资金信托计划合同（江苏先行控股南京分行）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江苏先行控股集团有限公司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22云南能源01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云南省能源投资集团有限公司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22诸暨城乡09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诸暨市城乡投资集团有限公司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1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22诸暨城乡09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22云南能源01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23厦门国际二级资本债01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厦门国际银行股份有限公司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22株国投MTN001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22闽冶金MTN001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22铜陵建投GN001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22徐州高新MTN002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22武进经发MTN003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22肥西城乡MTN001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22威海城投MTN001(绿色)</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兴银理财天天万利宝稳利恒盈7号封闭式净值型理财产品第33期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兴银理财天天万利宝稳利恒盈7号封闭式净值型理财产品第33期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0.0430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051010100101350315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兴银理财天天万利宝稳利恒盈7号封闭式净值型理财产品第33期</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p>
            <w:pPr>
              <w:pStyle w:val="4"/>
            </w:pPr>
          </w:p>
        </w:tc>
      </w:tr>
      <w:tr>
        <w:tblPrEx>
          <w:tblCellMar>
            <w:top w:w="0" w:type="dxa"/>
            <w:left w:w="10" w:type="dxa"/>
            <w:bottom w:w="0" w:type="dxa"/>
            <w:right w:w="10" w:type="dxa"/>
          </w:tblCellMar>
        </w:tblPrEx>
        <w:trPr>
          <w:gridAfter w:val="4"/>
          <w:trHeight w:val="130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bl>
    <w:p/>
    <w:sectPr>
      <w:pgSz w:w="11900" w:h="16840"/>
      <w:pgMar w:top="600" w:right="60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800"/>
  <w:compat>
    <w:useFELayout/>
    <w:splitPgBreakAndParaMark/>
    <w:compatSetting w:name="compatibilityMode" w:uri="http://schemas.microsoft.com/office/word" w:val="12"/>
  </w:compat>
  <w:rsids>
    <w:rsidRoot w:val="00000000"/>
    <w:rsid w:val="222E2ECE"/>
    <w:rsid w:val="30843F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2024-04-19T08:18:35Z</dcterms:created>
  <dc:creator>wot_weixiaojun_zy</dc:creator>
  <cp:lastModifiedBy>wot_weixiaojun_zy</cp:lastModifiedBy>
  <dcterms:modified xsi:type="dcterms:W3CDTF">2024-04-19T08:22:20Z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