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天天万利宝稳利1号净值型理财产品G款2024年第一季度报告</w:t>
            </w:r>
          </w:p>
        </w:tc>
        <w:tc>
          <w:p>
            <w:pPr>
              <w:pStyle w:val="4"/>
            </w:pPr>
          </w:p>
        </w:tc>
      </w:tr>
      <w:tr>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天天万利宝稳利1号净值型理财产品G款</w:t>
            </w:r>
            <w:r>
              <w:rPr>
                <w:rFonts w:ascii="宋体" w:hAnsi="宋体" w:eastAsia="宋体" w:cs="宋体"/>
                <w:b/>
                <w:color w:val="000000"/>
                <w:sz w:val="32"/>
              </w:rPr>
              <w:br w:type="textWrapping"/>
            </w:r>
            <w:r>
              <w:rPr>
                <w:rFonts w:ascii="宋体" w:hAnsi="宋体" w:eastAsia="宋体" w:cs="宋体"/>
                <w:b/>
                <w:color w:val="000000"/>
                <w:sz w:val="32"/>
              </w:rPr>
              <w:t>2024年第一季度报告</w:t>
            </w:r>
          </w:p>
        </w:tc>
        <w:tc>
          <w:p>
            <w:pPr>
              <w:pStyle w:val="4"/>
            </w:pPr>
          </w:p>
        </w:tc>
      </w:tr>
      <w:tr>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报告送出日期：2024年4月22日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3"/>
          </w:tcPr>
          <w:p>
            <w:pPr>
              <w:pStyle w:val="4"/>
            </w:pPr>
          </w:p>
        </w:tc>
        <w:tc>
          <w:p>
            <w:pPr>
              <w:pStyle w:val="4"/>
            </w:pPr>
          </w:p>
        </w:tc>
      </w:tr>
      <w:tr>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天天万利宝稳利1号净值型理财产品G款2024年第一季度报告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天天万利宝稳利1号净值型理财产品G款2024年第一季度报告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天天万利宝稳利1号净值型理财产品G款</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9K218017</w:t>
            </w:r>
          </w:p>
        </w:tc>
        <w:tc>
          <w:tcPr>
            <w:gridSpan w:val="2"/>
          </w:tcPr>
          <w:p>
            <w:pPr>
              <w:pStyle w:val="4"/>
            </w:pPr>
          </w:p>
        </w:tc>
        <w:tc>
          <w:p>
            <w:pPr>
              <w:pStyle w:val="4"/>
            </w:pPr>
          </w:p>
        </w:tc>
      </w:tr>
      <w:tr>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Z7002020000011</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4,161,166,315.06份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9K218017：2.60%--3.90%/3.25%</w:t>
            </w:r>
            <w:r>
              <w:rPr>
                <w:rFonts w:ascii="宋体" w:hAnsi="宋体" w:eastAsia="宋体" w:cs="宋体"/>
                <w:color w:val="000000"/>
                <w:sz w:val="21"/>
              </w:rPr>
              <w:br w:type="textWrapping"/>
            </w:r>
            <w:r>
              <w:rPr>
                <w:rFonts w:ascii="宋体" w:hAnsi="宋体" w:eastAsia="宋体" w:cs="宋体"/>
                <w:color w:val="000000"/>
                <w:sz w:val="21"/>
              </w:rPr>
              <w:t xml:space="preserve">  9K218117：2.50%--3.80%/3.15%</w:t>
            </w:r>
          </w:p>
        </w:tc>
        <w:tc>
          <w:tcPr>
            <w:gridSpan w:val="2"/>
          </w:tcPr>
          <w:p>
            <w:pPr>
              <w:pStyle w:val="4"/>
            </w:pPr>
          </w:p>
        </w:tc>
        <w:tc>
          <w:p>
            <w:pPr>
              <w:pStyle w:val="4"/>
            </w:pPr>
          </w:p>
        </w:tc>
      </w:tr>
      <w:tr>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00" w:hRule="exact"/>
        </w:trPr>
        <w:tc>
          <w:p>
            <w:pPr>
              <w:pStyle w:val="4"/>
            </w:pPr>
          </w:p>
        </w:tc>
        <w:tc>
          <w:p>
            <w:pPr>
              <w:pStyle w:val="4"/>
              <w:jc w:val="center"/>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稳利恒盈G 12个月</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9K218017（适用【A】份额）</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4,161,098,621.27</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稳利恒盈G 12个月B</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9K218117</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67,693.79</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gridAfter w:val="2"/>
          <w:trHeight w:val="683"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天天万利宝稳利1号净值型理财产品G款2024年第一季度报告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rPr>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rPr>
          <w:trHeight w:val="900" w:hRule="atLeast"/>
        </w:trPr>
        <w:tc>
          <w:p>
            <w:pPr>
              <w:pStyle w:val="4"/>
            </w:pPr>
          </w:p>
        </w:tc>
        <w:tc>
          <w:p>
            <w:pPr>
              <w:pStyle w:val="4"/>
            </w:pPr>
          </w:p>
        </w:tc>
        <w:tc>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产品9K218017自成立日以来，累计净值增长率为21.5560%，年化累计净值增长率为3.9340%。</w:t>
            </w:r>
            <w:r>
              <w:rPr>
                <w:rFonts w:ascii="宋体" w:hAnsi="宋体" w:eastAsia="宋体" w:cs="宋体"/>
                <w:color w:val="000000"/>
                <w:sz w:val="21"/>
              </w:rPr>
              <w:br w:type="textWrapping"/>
            </w:r>
            <w:r>
              <w:rPr>
                <w:rFonts w:ascii="宋体" w:hAnsi="宋体" w:eastAsia="宋体" w:cs="宋体"/>
                <w:color w:val="000000"/>
                <w:sz w:val="21"/>
              </w:rPr>
              <w:t>产品9K218117自成立日以来，累计净值增长率为1.8290%，年化累计净值增长率为3.8813%。</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9K218017</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1.01881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1.21556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4,239,437,700.51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9K218017（适用【A】份额）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1.01881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1.21556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4,239,368,768.81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9K218117</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1.01829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1.01829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68,931.70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刘晓光先生，复旦大学经济学学士、硕士，6年资产管理从业经验。2017年加入兴业银行资产管理部，2019年加入兴银理财，现任兴银理财固定收益部投资经理，主要负责债券投资和固收组合管理工作。专注固定收益投资，投资风格稳健，擅长宏观分析并结合产品特性灵活运用组合策略。</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57"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tcPr>
            <w:gridSpan w:val="2"/>
          </w:tcPr>
          <w:p>
            <w:pPr>
              <w:pStyle w:val="4"/>
            </w:pPr>
          </w:p>
        </w:tc>
        <w:tc>
          <w:p>
            <w:pPr>
              <w:pStyle w:val="4"/>
            </w:pPr>
          </w:p>
        </w:tc>
      </w:tr>
      <w:tr>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一、2024年一季度投资策略与运作回顾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2024年一季度债券市场牛市行情快速演绎后进入震荡，市场大致分为三个阶段：1） 年初在降准降息预期下债市做多情绪高涨收益率快速下行，1月24日央行宣布降准，债市进一步下行，利率曲线牛平；2）春节前后中央汇金公告“扩大ETF增持范围，坚决维护资本市场平稳运行”，权益市场回暖上行，债市略有回调，但随着LPR超预期调降25BP，十年国债收益率向下突破2.3%，三年国债收益率向下突破2.5%；3）3月中上旬央行连续低量投放OMO引发市场对于防止资金空转的担忧，叠加止盈情绪升温，债市大幅回调，随着央行表示“法定存款准备金仍有下降空间”以及超长期国债供给方式等消息面扰动，以及基本面数据仍有待修复等因素下，债市趋于震荡。</w:t>
            </w:r>
            <w:r>
              <w:rPr>
                <w:rFonts w:ascii="宋体" w:hAnsi="宋体" w:eastAsia="宋体" w:cs="宋体"/>
                <w:color w:val="000000"/>
                <w:sz w:val="21"/>
              </w:rPr>
              <w:br w:type="textWrapping"/>
            </w:r>
            <w:r>
              <w:rPr>
                <w:rFonts w:ascii="宋体" w:hAnsi="宋体" w:eastAsia="宋体" w:cs="宋体"/>
                <w:color w:val="000000"/>
                <w:sz w:val="21"/>
              </w:rPr>
              <w:t xml:space="preserve">    收益率方面，一季度整体1年NCD、1年国债、10年国债、中短期票据3年AAA、3年AA+、3年AA分别较2023年年末下行17bp、36bp、27bp、21bp、21bp、35bp；信用利差方面3年AAA、3年AA+、3年AA较2023年年末分别收窄4bp、4bp、18bp。</w:t>
            </w:r>
            <w:r>
              <w:rPr>
                <w:rFonts w:ascii="宋体" w:hAnsi="宋体" w:eastAsia="宋体" w:cs="宋体"/>
                <w:color w:val="000000"/>
                <w:sz w:val="21"/>
              </w:rPr>
              <w:br w:type="textWrapping"/>
            </w:r>
            <w:r>
              <w:rPr>
                <w:rFonts w:ascii="宋体" w:hAnsi="宋体" w:eastAsia="宋体" w:cs="宋体"/>
                <w:color w:val="000000"/>
                <w:sz w:val="21"/>
              </w:rPr>
              <w:t xml:space="preserve">    从基本面看，今年1-2月的经济数据和3月PMI均超出预期，指向一季度GDP增速或有上修空间；但当前有效</w:t>
            </w:r>
          </w:p>
        </w:tc>
        <w:tc>
          <w:tcPr>
            <w:gridSpan w:val="2"/>
          </w:tcPr>
          <w:p>
            <w:pPr>
              <w:pStyle w:val="4"/>
            </w:pPr>
          </w:p>
        </w:tc>
        <w:tc>
          <w:tcPr>
            <w:gridSpan w:val="2"/>
          </w:tcPr>
          <w:p>
            <w:pPr>
              <w:pStyle w:val="4"/>
            </w:pPr>
          </w:p>
        </w:tc>
        <w:tc>
          <w:p>
            <w:pPr>
              <w:pStyle w:val="4"/>
            </w:pPr>
          </w:p>
        </w:tc>
      </w:tr>
      <w:tr>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天天万利宝稳利1号净值型理财产品G款2024年第一季度报告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92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需求不足、价格处于低位、地产供需偏弱、消费仍待改善的问题仍存，稳经济、稳预期仍是政策主要诉求。</w:t>
            </w:r>
            <w:r>
              <w:rPr>
                <w:rFonts w:ascii="宋体" w:hAnsi="宋体" w:eastAsia="宋体" w:cs="宋体"/>
                <w:color w:val="000000"/>
                <w:sz w:val="21"/>
              </w:rPr>
              <w:br w:type="textWrapping"/>
            </w:r>
            <w:r>
              <w:rPr>
                <w:rFonts w:ascii="宋体" w:hAnsi="宋体" w:eastAsia="宋体" w:cs="宋体"/>
                <w:color w:val="000000"/>
                <w:sz w:val="21"/>
              </w:rPr>
              <w:t xml:space="preserve">    产品运作上，1月在降准降息预期下适当提升产品久期，采取久期+杠杆+票息策略；2月春节后数据真空期票息策略为主，随着LPR超预期调降，产品积极配置高流动资产；3月在资金边际收紧、止盈情绪升温的背景下，整体采取防守策略，保证产品流动性为主。整体看，票息资产仍是理财产品收益的重要来源，久期是增强产品收益的关键，产品的主要策略是择高票息优质资产进行配置，逢高灵活运用高流动久期资产增强产品收益。</w:t>
            </w:r>
            <w:r>
              <w:rPr>
                <w:rFonts w:ascii="宋体" w:hAnsi="宋体" w:eastAsia="宋体" w:cs="宋体"/>
                <w:color w:val="000000"/>
                <w:sz w:val="21"/>
              </w:rPr>
              <w:br w:type="textWrapping"/>
            </w:r>
            <w:r>
              <w:rPr>
                <w:rFonts w:ascii="宋体" w:hAnsi="宋体" w:eastAsia="宋体" w:cs="宋体"/>
                <w:color w:val="000000"/>
                <w:sz w:val="21"/>
              </w:rPr>
              <w:t>二、2024二季度投资策略展望</w:t>
            </w:r>
            <w:r>
              <w:rPr>
                <w:rFonts w:ascii="宋体" w:hAnsi="宋体" w:eastAsia="宋体" w:cs="宋体"/>
                <w:color w:val="000000"/>
                <w:sz w:val="21"/>
              </w:rPr>
              <w:br w:type="textWrapping"/>
            </w:r>
            <w:r>
              <w:rPr>
                <w:rFonts w:ascii="宋体" w:hAnsi="宋体" w:eastAsia="宋体" w:cs="宋体"/>
                <w:color w:val="000000"/>
                <w:sz w:val="21"/>
              </w:rPr>
              <w:t xml:space="preserve">    二季度债市仍有机会。货币政策方面，中央强调社融M2同经济增长和价格水平预期目标相匹配，预计二季度社融和M2以稳为主；另一方面，二季度政府债供给回升相对确定，超长特别国债应声发行之下，央行多次表示有降准空间，预计二季度降准概率较高；财政政策方面，今年安排了1万亿元超长期特别国债、7000亿元的中央预算内投资以及3.9万亿元地方政府专项债券，稳增长政策积极推进，需重点关注国债和地方政府债发行节奏；资金面方面，预计整体将继续维持平稳，但资金价格进一步下行有限，或受债券供给影响波动加大。考虑到目前资产荒问题显著以及地产持续疲弱，债市维持在低位运行，趋势反转在短期内尚难发生，但止盈交易或易触发，利率回调或是再度入场的机会。整体上预计二季度债市震荡偏强。</w:t>
            </w:r>
            <w:r>
              <w:rPr>
                <w:rFonts w:ascii="宋体" w:hAnsi="宋体" w:eastAsia="宋体" w:cs="宋体"/>
                <w:color w:val="000000"/>
                <w:sz w:val="21"/>
              </w:rPr>
              <w:br w:type="textWrapping"/>
            </w:r>
            <w:r>
              <w:rPr>
                <w:rFonts w:ascii="宋体" w:hAnsi="宋体" w:eastAsia="宋体" w:cs="宋体"/>
                <w:color w:val="000000"/>
                <w:sz w:val="21"/>
              </w:rPr>
              <w:t xml:space="preserve">    下阶段总体策略维持中性偏低久期，以票息和杠杆策略为主，注重组合流动性，提升组合静态，同时积极把握债市调整形成的波段操作机会博取超额收益，提高组合收益率。</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4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bookmarkStart w:id="8" w:name="_GoBack" w:colFirst="0" w:colLast="3"/>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jc w:val="center"/>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2.83</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3.76</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3.50</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3.50</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权益类投资</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3.63</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3.63</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0.82</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0.82</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67.92</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76.41</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11.88</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11.88</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9.42</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jc w:val="center"/>
                  </w:pPr>
                </w:p>
              </w:tc>
            </w:tr>
            <w:bookmarkEnd w:id="8"/>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rPr>
          <w:gridAfter w:val="2"/>
          <w:trHeight w:val="10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天天万利宝稳利1号净值型理财产品G款2024年第一季度报告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4"/>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4"/>
          </w:tcPr>
          <w:p>
            <w:pPr>
              <w:pStyle w:val="4"/>
            </w:pPr>
          </w:p>
        </w:tc>
        <w:tc>
          <w:p>
            <w:pPr>
              <w:pStyle w:val="4"/>
            </w:pPr>
          </w:p>
        </w:tc>
      </w:tr>
      <w:tr>
        <w:trPr>
          <w:trHeight w:val="5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21平安银行二级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354,408,993.77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8.36</w:t>
                        </w:r>
                      </w:p>
                    </w:tc>
                  </w:tr>
                </w:tbl>
                <w:p>
                  <w:pPr>
                    <w:pStyle w:val="4"/>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20农业银行永续债01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302,859,642.21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7.14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20民生银行二级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264,041,227.09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6.23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湖北金租同业借款20231116001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202,513,479.30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万联证券保本收益鑫联鑫170号固定收益凭证</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202,436,827.20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21嘉南投债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134,958,930.41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21招商银行永续债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124,831,209.84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工商银行活期存款（福州）</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110,056,318.80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21江西铁航ABN001优先</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102,624,319.18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中信消金同业借款20231109001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100,061,708.37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rPr>
          <w:trHeight w:val="24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湖北金租同业借款20231116001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湖北金融租赁股份有限公司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万联证券保本收益鑫联鑫170号固定收益凭证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万联证券股份有限公司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券商收益凭证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中信消金同业借款20231109001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中信消费金融有限公司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rPr>
          <w:gridAfter w:val="4"/>
          <w:trHeight w:val="0" w:hRule="atLeast"/>
        </w:trPr>
        <w:tc>
          <w:p>
            <w:pPr>
              <w:pStyle w:val="4"/>
              <w:pageBreakBefore/>
            </w:pPr>
            <w:bookmarkStart w:id="6" w:name="JR_PAGE_ANCHOR_0_7"/>
            <w:bookmarkEnd w:id="6"/>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天天万利宝稳利1号净值型理财产品G款2024年第一季度报告</w:t>
            </w:r>
          </w:p>
        </w:tc>
        <w:tc>
          <w:p>
            <w:pPr>
              <w:pStyle w:val="4"/>
            </w:pPr>
          </w:p>
        </w:tc>
      </w:tr>
      <w:tr>
        <w:trPr>
          <w:gridAfter w:val="4"/>
          <w:trHeight w:val="2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rPr>
          <w:gridAfter w:val="4"/>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p>
            <w:pPr>
              <w:pStyle w:val="4"/>
            </w:pPr>
          </w:p>
        </w:tc>
      </w:tr>
      <w:tr>
        <w:trPr>
          <w:gridAfter w:val="4"/>
          <w:trHeight w:val="400" w:hRule="atLeast"/>
        </w:trPr>
        <w:tc>
          <w:p>
            <w:pPr>
              <w:pStyle w:val="4"/>
            </w:pPr>
          </w:p>
        </w:tc>
        <w:tc>
          <w:tcPr>
            <w:gridSpan w:val="4"/>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p>
            <w:pPr>
              <w:pStyle w:val="4"/>
            </w:pPr>
          </w:p>
        </w:tc>
      </w:tr>
      <w:tr>
        <w:tblPrEx>
          <w:tblCellMar>
            <w:top w:w="0" w:type="dxa"/>
            <w:left w:w="10" w:type="dxa"/>
            <w:bottom w:w="0" w:type="dxa"/>
            <w:right w:w="10" w:type="dxa"/>
          </w:tblCellMar>
        </w:tblPrEx>
        <w:trPr>
          <w:gridAfter w:val="4"/>
          <w:trHeight w:val="10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22狮产01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23华润MTN004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24鄂文旅MTN001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23兴湘投资MTN001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23镇海投资MTN001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23青岛国信MTN006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23中建八局MTN001(科创票据)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23天辰工程MTN001(科创票据)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22胶州城投PPN001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7,500,000.00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23雨花城投PPN001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23五凌2号ABN001优先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23华能大庆ABN001优先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23招行永续债01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15,400,000.00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20工商银行二级01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21江西铁航ABN001优先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22五凌1号ABN001优先A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23,863,625.00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22珠海华发ABN001优先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trHeight w:val="20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4"/>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p>
            <w:pPr>
              <w:pStyle w:val="4"/>
            </w:pPr>
          </w:p>
        </w:tc>
      </w:tr>
      <w:tr>
        <w:tblPrEx>
          <w:tblCellMar>
            <w:top w:w="0" w:type="dxa"/>
            <w:left w:w="10" w:type="dxa"/>
            <w:bottom w:w="0" w:type="dxa"/>
            <w:right w:w="10" w:type="dxa"/>
          </w:tblCellMar>
        </w:tblPrEx>
        <w:trPr>
          <w:gridAfter w:val="4"/>
          <w:trHeight w:val="24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兴瀚资管-兴添翼54号集合资产管理计划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3.8637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上海兴瀚资产管理有限公司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天天万利宝稳利1号净值型理财产品G款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6.7005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天天万利宝稳利1号净值型理财产品G款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34.2659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rPr>
          <w:gridAfter w:val="4"/>
          <w:trHeight w:val="400" w:hRule="atLeast"/>
        </w:trPr>
        <w:tc>
          <w:p>
            <w:pPr>
              <w:pStyle w:val="4"/>
            </w:pPr>
          </w:p>
        </w:tc>
        <w:tc>
          <w:tcPr>
            <w:gridSpan w:val="4"/>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p>
            <w:pPr>
              <w:pStyle w:val="4"/>
            </w:pPr>
          </w:p>
        </w:tc>
      </w:tr>
      <w:tr>
        <w:trPr>
          <w:trHeight w:val="0" w:hRule="atLeast"/>
        </w:trPr>
        <w:tc>
          <w:p>
            <w:pPr>
              <w:pStyle w:val="4"/>
              <w:pageBreakBefore/>
            </w:pPr>
            <w:bookmarkStart w:id="7" w:name="JR_PAGE_ANCHOR_0_8"/>
            <w:bookmarkEnd w:id="7"/>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天天万利宝稳利1号净值型理财产品G款2024年第一季度报告</w:t>
            </w:r>
          </w:p>
        </w:tc>
        <w:tc>
          <w:tcPr>
            <w:gridSpan w:val="4"/>
          </w:tcPr>
          <w:p>
            <w:pPr>
              <w:pStyle w:val="4"/>
            </w:pPr>
          </w:p>
        </w:tc>
        <w:tc>
          <w:p>
            <w:pPr>
              <w:pStyle w:val="4"/>
            </w:pPr>
          </w:p>
        </w:tc>
      </w:tr>
      <w:tr>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051010100100564499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兴业银行理财托管专户天天万利宝稳利1号G款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2024年4月22日</w:t>
            </w:r>
          </w:p>
        </w:tc>
        <w:tc>
          <w:tcPr>
            <w:gridSpan w:val="4"/>
          </w:tcPr>
          <w:p>
            <w:pPr>
              <w:pStyle w:val="4"/>
            </w:pPr>
          </w:p>
        </w:tc>
        <w:tc>
          <w:p>
            <w:pPr>
              <w:pStyle w:val="4"/>
            </w:pPr>
          </w:p>
        </w:tc>
      </w:tr>
      <w:tr>
        <w:trPr>
          <w:trHeight w:val="8842"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800"/>
  <w:compat>
    <w:useFELayout/>
    <w:splitPgBreakAndParaMark/>
    <w:compatSetting w:name="compatibilityMode" w:uri="http://schemas.microsoft.com/office/word" w:val="12"/>
  </w:compat>
  <w:rsids>
    <w:rsidRoot w:val="00000000"/>
    <w:rsid w:val="027669E8"/>
    <w:rsid w:val="2819525F"/>
    <w:rsid w:val="7A3419AE"/>
    <w:rsid w:val="7EC25D6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2024-04-19T06:40:22Z</dcterms:created>
  <dc:creator>wot_weixiaojun_zy</dc:creator>
  <cp:lastModifiedBy>wot_weixiaojun_zy</cp:lastModifiedBy>
  <dcterms:modified xsi:type="dcterms:W3CDTF">2024-04-19T06:43:04Z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