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20"/>
        <w:gridCol w:w="1"/>
      </w:tblGrid>
      <w:tr>
        <w:tblPrEx>
          <w:tblCellMar>
            <w:top w:w="0" w:type="dxa"/>
            <w:left w:w="10" w:type="dxa"/>
            <w:bottom w:w="0" w:type="dxa"/>
            <w:right w:w="10" w:type="dxa"/>
          </w:tblCellMar>
        </w:tblPrEx>
        <w:trPr>
          <w:gridAfter w:val="3"/>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兴银理财稳添利周盈2号(7天最短持有期)日开固收类理财产品2024年第一季度报告</w:t>
            </w: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3"/>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兴银理财稳添利周盈2号(7天最短持有期)日开固收类理财产品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3"/>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兴银理财稳添利周盈2号(7天最短持有期)日开固收类理财产品2024年第一季度报告</w:t>
            </w: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3"/>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3"/>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兴银理财稳添利周盈2号(7天最短持有期)日开固收类理财产品2024年第一季度报告</w:t>
            </w: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3"/>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3"/>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250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3"/>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3"/>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兴银理财稳添利周盈2号(7天最短持有期)日开固收类理财产品</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9K910120</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Z7002022000075</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5,509,932,516.47份</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3"/>
          <w:wAfter w:w="40" w:type="dxa"/>
          <w:trHeight w:val="142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9K91012A：2.50%--3.90%/--</w:t>
            </w:r>
            <w:r>
              <w:rPr>
                <w:rFonts w:ascii="宋体" w:hAnsi="宋体" w:eastAsia="宋体" w:cs="宋体"/>
                <w:color w:val="000000"/>
                <w:sz w:val="21"/>
              </w:rPr>
              <w:br w:type="textWrapping"/>
            </w:r>
            <w:r>
              <w:rPr>
                <w:rFonts w:ascii="宋体" w:hAnsi="宋体" w:eastAsia="宋体" w:cs="宋体"/>
                <w:color w:val="000000"/>
                <w:sz w:val="21"/>
              </w:rPr>
              <w:t xml:space="preserve">  9K91012B：2.40%--3.80%/--</w:t>
            </w:r>
            <w:r>
              <w:rPr>
                <w:rFonts w:ascii="宋体" w:hAnsi="宋体" w:eastAsia="宋体" w:cs="宋体"/>
                <w:color w:val="000000"/>
                <w:sz w:val="21"/>
              </w:rPr>
              <w:br w:type="textWrapping"/>
            </w:r>
            <w:r>
              <w:rPr>
                <w:rFonts w:ascii="宋体" w:hAnsi="宋体" w:eastAsia="宋体" w:cs="宋体"/>
                <w:color w:val="000000"/>
                <w:sz w:val="21"/>
              </w:rPr>
              <w:t xml:space="preserve">  9K91012C：2.45%--3.85%/--</w:t>
            </w:r>
            <w:r>
              <w:rPr>
                <w:rFonts w:ascii="宋体" w:hAnsi="宋体" w:eastAsia="宋体" w:cs="宋体"/>
                <w:color w:val="000000"/>
                <w:sz w:val="21"/>
              </w:rPr>
              <w:br w:type="textWrapping"/>
            </w:r>
            <w:r>
              <w:rPr>
                <w:rFonts w:ascii="宋体" w:hAnsi="宋体" w:eastAsia="宋体" w:cs="宋体"/>
                <w:color w:val="000000"/>
                <w:sz w:val="21"/>
              </w:rPr>
              <w:t xml:space="preserve">  9K91012D：2.50%--3.90%/--</w:t>
            </w:r>
            <w:r>
              <w:rPr>
                <w:rFonts w:ascii="宋体" w:hAnsi="宋体" w:eastAsia="宋体" w:cs="宋体"/>
                <w:color w:val="000000"/>
                <w:sz w:val="21"/>
              </w:rPr>
              <w:br w:type="textWrapping"/>
            </w:r>
            <w:r>
              <w:rPr>
                <w:rFonts w:ascii="宋体" w:hAnsi="宋体" w:eastAsia="宋体" w:cs="宋体"/>
                <w:color w:val="000000"/>
                <w:sz w:val="21"/>
              </w:rPr>
              <w:t xml:space="preserve">  9K91012E：2.15%--3.55%/--</w:t>
            </w:r>
            <w:r>
              <w:rPr>
                <w:rFonts w:ascii="宋体" w:hAnsi="宋体" w:eastAsia="宋体" w:cs="宋体"/>
                <w:color w:val="000000"/>
                <w:sz w:val="21"/>
              </w:rPr>
              <w:br w:type="textWrapping"/>
            </w:r>
            <w:r>
              <w:rPr>
                <w:rFonts w:ascii="宋体" w:hAnsi="宋体" w:eastAsia="宋体" w:cs="宋体"/>
                <w:color w:val="000000"/>
                <w:sz w:val="21"/>
              </w:rPr>
              <w:t xml:space="preserve">  9K91012F：2.25%--3.65%/--</w:t>
            </w:r>
          </w:p>
        </w:tc>
        <w:tc>
          <w:p>
            <w:pPr>
              <w:pStyle w:val="4"/>
            </w:pPr>
          </w:p>
        </w:tc>
      </w:tr>
      <w:tr>
        <w:tblPrEx>
          <w:tblCellMar>
            <w:top w:w="0" w:type="dxa"/>
            <w:left w:w="10" w:type="dxa"/>
            <w:bottom w:w="0" w:type="dxa"/>
            <w:right w:w="10" w:type="dxa"/>
          </w:tblCellMar>
        </w:tblPrEx>
        <w:trPr>
          <w:gridAfter w:val="3"/>
          <w:wAfter w:w="40" w:type="dxa"/>
          <w:trHeight w:val="2263"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兴银理财稳添利周盈2号(7天最短持有期)日开固收类理财产品2024年第一季度报告</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4,117,995,424.30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兴银稳添利周盈2号B</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1,100,446,654.50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兴银稳添利周盈2号C</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9K91012C</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215,199,185.84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兴银稳添利周盈2号D</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9K91012D</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68,022,828.73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兴银稳添利周盈2号E</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9K91012E</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33,336.23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兴银稳添利周盈2号F</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9K91012F</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8,235,086.87</w:t>
                        </w:r>
                      </w:p>
                    </w:tc>
                  </w:tr>
                </w:tbl>
                <w:p>
                  <w:pPr>
                    <w:pStyle w:val="4"/>
                    <w:jc w:val="center"/>
                  </w:pPr>
                </w:p>
              </w:tc>
            </w:tr>
          </w:tbl>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产品9K91012A自成立日以来，累计净值增长率为5.7650%，年化累计净值增长率为2.7687%。</w:t>
            </w:r>
            <w:r>
              <w:rPr>
                <w:rFonts w:ascii="宋体" w:hAnsi="宋体" w:eastAsia="宋体" w:cs="宋体"/>
                <w:color w:val="000000"/>
                <w:sz w:val="21"/>
              </w:rPr>
              <w:br w:type="textWrapping"/>
            </w:r>
            <w:r>
              <w:rPr>
                <w:rFonts w:ascii="宋体" w:hAnsi="宋体" w:eastAsia="宋体" w:cs="宋体"/>
                <w:color w:val="000000"/>
                <w:sz w:val="21"/>
              </w:rPr>
              <w:t>产品9K91012B自成立日以来，累计净值增长率为5.3260%，年化累计净值增长率为2.5954%。</w:t>
            </w:r>
            <w:r>
              <w:rPr>
                <w:rFonts w:ascii="宋体" w:hAnsi="宋体" w:eastAsia="宋体" w:cs="宋体"/>
                <w:color w:val="000000"/>
                <w:sz w:val="21"/>
              </w:rPr>
              <w:br w:type="textWrapping"/>
            </w:r>
            <w:r>
              <w:rPr>
                <w:rFonts w:ascii="宋体" w:hAnsi="宋体" w:eastAsia="宋体" w:cs="宋体"/>
                <w:color w:val="000000"/>
                <w:sz w:val="21"/>
              </w:rPr>
              <w:t>产品9K91012C自成立日以来，累计净值增长率为5.4330%，年化累计净值增长率为2.6726%。</w:t>
            </w:r>
            <w:r>
              <w:rPr>
                <w:rFonts w:ascii="宋体" w:hAnsi="宋体" w:eastAsia="宋体" w:cs="宋体"/>
                <w:color w:val="000000"/>
                <w:sz w:val="21"/>
              </w:rPr>
              <w:br w:type="textWrapping"/>
            </w:r>
            <w:r>
              <w:rPr>
                <w:rFonts w:ascii="宋体" w:hAnsi="宋体" w:eastAsia="宋体" w:cs="宋体"/>
                <w:color w:val="000000"/>
                <w:sz w:val="21"/>
              </w:rPr>
              <w:t>产品9K91012D自成立日以来，累计净值增长率为4.5820%，年化累计净值增长率为2.6888%。</w:t>
            </w:r>
            <w:r>
              <w:rPr>
                <w:rFonts w:ascii="宋体" w:hAnsi="宋体" w:eastAsia="宋体" w:cs="宋体"/>
                <w:color w:val="000000"/>
                <w:sz w:val="21"/>
              </w:rPr>
              <w:br w:type="textWrapping"/>
            </w:r>
            <w:r>
              <w:rPr>
                <w:rFonts w:ascii="宋体" w:hAnsi="宋体" w:eastAsia="宋体" w:cs="宋体"/>
                <w:color w:val="000000"/>
                <w:sz w:val="21"/>
              </w:rPr>
              <w:t>产品9K91012E自成立日以来，累计净值增长率为1.6600%，年化累计净值增长率为1.9053%。</w:t>
            </w:r>
            <w:r>
              <w:rPr>
                <w:rFonts w:ascii="宋体" w:hAnsi="宋体" w:eastAsia="宋体" w:cs="宋体"/>
                <w:color w:val="000000"/>
                <w:sz w:val="21"/>
              </w:rPr>
              <w:br w:type="textWrapping"/>
            </w:r>
            <w:r>
              <w:rPr>
                <w:rFonts w:ascii="宋体" w:hAnsi="宋体" w:eastAsia="宋体" w:cs="宋体"/>
                <w:color w:val="000000"/>
                <w:sz w:val="21"/>
              </w:rPr>
              <w:t>产品9K91012F自成立日以来，累计净值增长率为1.4120%，年化累计净值增长率为2.2408%。</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1.05643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1.05643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5,820,871,450.64</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1.05765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1.05765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4,355,395,049.20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9K91012B</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1.05326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1.05326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1,159,061,209.96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9K91012C</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1.05433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1.05433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226,890,000.49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9K91012D</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1.04582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1.04582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71,139,920.37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9K91012E</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33,889.53</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兴银理财稳添利周盈2号(7天最短持有期)日开固收类理财产品2024年第一季度报告</w:t>
            </w:r>
          </w:p>
        </w:tc>
        <w:tc>
          <w:tcPr>
            <w:gridSpan w:val="3"/>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9K91012F</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1.01412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1.01412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8,351,381.09</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11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3"/>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赵天然女士，复旦大学经济学（数理经济方向）学士；复旦大学国际经济学硕士。具有8年固定收益领域投资交易经验。自2015年8月加入兴业银行以来，一直在资产管理事业部任投资经理，债券交易量近数千亿，交易能力出众；牵头固定收益投资部的利率债交易盘和信用债二级投资，擅长利率债波段和信用债价值挖掘；牵头固定收益投资部的宏观利率研究工作，对债券市场走势有深刻的理解。</w:t>
            </w:r>
          </w:p>
        </w:tc>
        <w:tc>
          <w:tcPr>
            <w:gridSpan w:val="3"/>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3"/>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86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从基本面看，今年1-2月的经济数据和3月PMI均超出预期，指向一季度GDP增速或有上修空间；但当前有效需求不足、价格处于低位、地产供需偏弱、消费仍待改善的问题仍存，稳经济、稳预期仍是政策主要诉求。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3"/>
          </w:tcPr>
          <w:p>
            <w:pPr>
              <w:pStyle w:val="4"/>
            </w:pPr>
          </w:p>
        </w:tc>
        <w:tc>
          <w:p>
            <w:pPr>
              <w:pStyle w:val="4"/>
            </w:pPr>
          </w:p>
        </w:tc>
      </w:tr>
      <w:tr>
        <w:tblPrEx>
          <w:tblCellMar>
            <w:top w:w="0" w:type="dxa"/>
            <w:left w:w="10" w:type="dxa"/>
            <w:bottom w:w="0" w:type="dxa"/>
            <w:right w:w="10" w:type="dxa"/>
          </w:tblCellMar>
        </w:tblPrEx>
        <w:trPr>
          <w:trHeight w:val="4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兴银理财稳添利周盈2号(7天最短持有期)日开固收类理财产品2024年第一季度报告</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68.70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10.85</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13.18</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tbl>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8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Z存放同业（线上）20230506007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256,036,520.87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中再资管安心收益6号持有定期存款(80PF220129-202306210002)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240,020,894.32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4.12</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jc w:val="center"/>
            </w:pPr>
          </w:p>
        </w:tc>
        <w:tc>
          <w:tcPr>
            <w:gridSpan w:val="3"/>
          </w:tcPr>
          <w:p>
            <w:pPr>
              <w:pStyle w:val="4"/>
              <w:jc w:val="center"/>
            </w:pPr>
          </w:p>
        </w:tc>
        <w:tc>
          <w:tcPr>
            <w:gridSpan w:val="2"/>
          </w:tcPr>
          <w:p>
            <w:pPr>
              <w:pStyle w:val="4"/>
              <w:jc w:val="center"/>
            </w:pPr>
          </w:p>
        </w:tc>
        <w:tc>
          <w:tcPr>
            <w:gridSpan w:val="4"/>
          </w:tcPr>
          <w:p>
            <w:pPr>
              <w:pStyle w:val="4"/>
              <w:jc w:val="center"/>
            </w:pPr>
          </w:p>
        </w:tc>
        <w:tc>
          <w:tcPr>
            <w:gridSpan w:val="2"/>
          </w:tcPr>
          <w:p>
            <w:pPr>
              <w:pStyle w:val="4"/>
              <w:jc w:val="center"/>
            </w:pPr>
          </w:p>
        </w:tc>
        <w:tc>
          <w:p>
            <w:pPr>
              <w:pStyle w:val="4"/>
              <w:jc w:val="center"/>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jc w:val="center"/>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both"/>
            </w:pPr>
            <w:bookmarkStart w:id="8" w:name="_GoBack"/>
            <w:bookmarkEnd w:id="8"/>
            <w:r>
              <w:rPr>
                <w:rFonts w:ascii="SansSerif" w:hAnsi="SansSerif" w:eastAsia="SansSerif" w:cs="SansSerif"/>
                <w:color w:val="000000"/>
                <w:sz w:val="18"/>
              </w:rPr>
              <w:t>8</w:t>
            </w:r>
          </w:p>
        </w:tc>
        <w:tc>
          <w:tcPr>
            <w:gridSpan w:val="4"/>
          </w:tcPr>
          <w:p>
            <w:pPr>
              <w:pStyle w:val="4"/>
              <w:jc w:val="center"/>
            </w:pPr>
          </w:p>
        </w:tc>
        <w:tc>
          <w:tcPr>
            <w:gridSpan w:val="2"/>
          </w:tcPr>
          <w:p>
            <w:pPr>
              <w:pStyle w:val="4"/>
              <w:jc w:val="center"/>
            </w:pPr>
          </w:p>
        </w:tc>
        <w:tc>
          <w:p>
            <w:pPr>
              <w:pStyle w:val="4"/>
              <w:jc w:val="center"/>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jc w:val="center"/>
            </w:pPr>
          </w:p>
        </w:tc>
        <w:tc>
          <w:tcPr>
            <w:gridSpan w:val="2"/>
          </w:tcPr>
          <w:p>
            <w:pPr>
              <w:pStyle w:val="4"/>
              <w:jc w:val="center"/>
            </w:pPr>
          </w:p>
        </w:tc>
        <w:tc>
          <w:tcPr>
            <w:gridSpan w:val="3"/>
          </w:tcPr>
          <w:p>
            <w:pPr>
              <w:pStyle w:val="4"/>
              <w:jc w:val="center"/>
            </w:pPr>
          </w:p>
        </w:tc>
        <w:tc>
          <w:tcPr>
            <w:gridSpan w:val="2"/>
          </w:tcPr>
          <w:p>
            <w:pPr>
              <w:pStyle w:val="4"/>
              <w:jc w:val="center"/>
            </w:pPr>
          </w:p>
        </w:tc>
        <w:tc>
          <w:tcPr>
            <w:gridSpan w:val="4"/>
          </w:tcPr>
          <w:p>
            <w:pPr>
              <w:pStyle w:val="4"/>
              <w:jc w:val="center"/>
            </w:pPr>
          </w:p>
        </w:tc>
        <w:tc>
          <w:tcPr>
            <w:gridSpan w:val="3"/>
          </w:tcPr>
          <w:p>
            <w:pPr>
              <w:pStyle w:val="4"/>
              <w:jc w:val="center"/>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center"/>
            </w:pPr>
            <w:r>
              <w:rPr>
                <w:rFonts w:ascii="宋体" w:hAnsi="宋体" w:eastAsia="宋体" w:cs="宋体"/>
                <w:color w:val="808080"/>
                <w:sz w:val="18"/>
              </w:rPr>
              <w:t>兴银理财稳添利周盈2号(7天最短持有期)日开固收类理财产品2024年第一季度报告</w:t>
            </w:r>
          </w:p>
        </w:tc>
        <w:tc>
          <w:tcPr>
            <w:gridSpan w:val="3"/>
          </w:tcPr>
          <w:p>
            <w:pPr>
              <w:pStyle w:val="4"/>
              <w:jc w:val="center"/>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jc w:val="center"/>
            </w:pPr>
          </w:p>
        </w:tc>
        <w:tc>
          <w:tcPr>
            <w:gridSpan w:val="2"/>
          </w:tcPr>
          <w:p>
            <w:pPr>
              <w:pStyle w:val="4"/>
              <w:jc w:val="center"/>
            </w:pPr>
          </w:p>
        </w:tc>
        <w:tc>
          <w:tcPr>
            <w:gridSpan w:val="3"/>
          </w:tcPr>
          <w:p>
            <w:pPr>
              <w:pStyle w:val="4"/>
              <w:jc w:val="center"/>
            </w:pPr>
          </w:p>
        </w:tc>
        <w:tc>
          <w:tcPr>
            <w:gridSpan w:val="2"/>
          </w:tcPr>
          <w:p>
            <w:pPr>
              <w:pStyle w:val="4"/>
              <w:jc w:val="center"/>
            </w:pPr>
          </w:p>
        </w:tc>
        <w:tc>
          <w:tcPr>
            <w:gridSpan w:val="4"/>
          </w:tcPr>
          <w:p>
            <w:pPr>
              <w:pStyle w:val="4"/>
              <w:jc w:val="center"/>
            </w:pPr>
          </w:p>
        </w:tc>
        <w:tc>
          <w:tcPr>
            <w:gridSpan w:val="3"/>
          </w:tcPr>
          <w:p>
            <w:pPr>
              <w:pStyle w:val="4"/>
              <w:jc w:val="center"/>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jc w:val="center"/>
            </w:pPr>
          </w:p>
        </w:tc>
        <w:tc>
          <w:tcPr>
            <w:gridSpan w:val="3"/>
          </w:tcPr>
          <w:p>
            <w:pPr>
              <w:pStyle w:val="4"/>
              <w:jc w:val="center"/>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23国债16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204,255,202.72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200,046,027.40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中再资管安心收益6号持有定期存款(80PF220129-202308240001)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179,100,330.31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中再资管安心收益6号持有定期存款(80PF220129-202306210004)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150,013,058.95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中再资管安心收益6号持有定期存款(80PF220129-202205190001)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124,422,401.52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中再资管安心收益6号持有定期存款(80PF220129-202205100001)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124,285,303.88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中再资管安心收益6号持有定期存款(80PF220129-202206170004)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123,899,141.53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中再资管安心收益6号持有定期存款(80PF220129-202209290001)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123,797,303.88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3"/>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21豫交运MTN002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21粤财投资MTN002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23宜昌城控MTN001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23青岛城投MTN002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jc w:val="center"/>
                  </w:pPr>
                </w:p>
              </w:tc>
            </w:tr>
          </w:tbl>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3"/>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兴银理财稳添利周盈2号(7天最短持有期)日开固收类理财产品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56.6138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兴银理财稳添利周盈2号(7天最短持有期)日开固收类理财产品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3.5346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bl>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3"/>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兴银理财稳添利周盈2号(7天最短持有期)日开固收类理财产品2024年第一季度报告</w:t>
            </w:r>
          </w:p>
        </w:tc>
        <w:tc>
          <w:tcPr>
            <w:gridSpan w:val="3"/>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jc w:val="center"/>
                  </w:pPr>
                </w:p>
              </w:tc>
            </w:tr>
          </w:tbl>
          <w:p>
            <w:pPr>
              <w:pStyle w:val="4"/>
              <w:jc w:val="center"/>
            </w:pPr>
          </w:p>
        </w:tc>
        <w:tc>
          <w:tcPr>
            <w:gridSpan w:val="3"/>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jc w:val="center"/>
                        </w:pPr>
                      </w:p>
                    </w:tc>
                  </w:tr>
                </w:tbl>
                <w:p>
                  <w:pPr>
                    <w:pStyle w:val="4"/>
                    <w:jc w:val="center"/>
                  </w:pPr>
                </w:p>
              </w:tc>
            </w:tr>
          </w:tbl>
          <w:p>
            <w:pPr>
              <w:pStyle w:val="4"/>
              <w:jc w:val="center"/>
            </w:pPr>
          </w:p>
        </w:tc>
        <w:tc>
          <w:tcPr>
            <w:gridSpan w:val="3"/>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051010100101368675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兴银理财稳添利周盈2号7天最短持有期日开固收类理财产品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3"/>
          </w:tcPr>
          <w:p>
            <w:pPr>
              <w:pStyle w:val="4"/>
            </w:pPr>
          </w:p>
        </w:tc>
        <w:tc>
          <w:p>
            <w:pPr>
              <w:pStyle w:val="4"/>
            </w:pPr>
          </w:p>
        </w:tc>
      </w:tr>
      <w:tr>
        <w:tblPrEx>
          <w:tblCellMar>
            <w:top w:w="0" w:type="dxa"/>
            <w:left w:w="10" w:type="dxa"/>
            <w:bottom w:w="0" w:type="dxa"/>
            <w:right w:w="10" w:type="dxa"/>
          </w:tblCellMar>
        </w:tblPrEx>
        <w:trPr>
          <w:trHeight w:val="77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3"/>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2970095C"/>
    <w:rsid w:val="3EBA63FE"/>
    <w:rsid w:val="591A267F"/>
    <w:rsid w:val="5FD74E51"/>
    <w:rsid w:val="6B4A33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2024-04-20T05:35:00Z</dcterms:created>
  <dc:creator>wot_wanglinbo_zy</dc:creator>
  <cp:lastModifiedBy>wot_weixiaojun_zy</cp:lastModifiedBy>
  <dcterms:modified xsi:type="dcterms:W3CDTF">2024-04-20T09:40:09Z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