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兴业银行天天万利宝稳利6号S款净值型理财产品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兴业银行天天万利宝稳利6号S款净值型理财产品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9K209230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Z7002021000188</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1,291,589,546.42份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9K20923A：人民银行活期存款利率/--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9K20923B：人民银行活期存款利率/--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9K20923C：人民银行活期存款利率/--</w:t>
            </w:r>
            <w:r>
              <w:rPr>
                <w:rFonts w:ascii="宋体" w:hAnsi="宋体" w:eastAsia="宋体" w:cs="宋体"/>
                <w:color w:val="000000"/>
                <w:sz w:val="21"/>
              </w:rPr>
              <w:br w:type="textWrapping"/>
            </w:r>
            <w:r>
              <w:rPr>
                <w:rFonts w:ascii="宋体" w:hAnsi="宋体" w:eastAsia="宋体" w:cs="宋体"/>
                <w:color w:val="000000"/>
                <w:sz w:val="21"/>
              </w:rPr>
              <w:t xml:space="preserve">  9K20923D：人民银行活期存款利率/--</w:t>
            </w:r>
          </w:p>
        </w:tc>
        <w:tc>
          <w:p>
            <w:pPr>
              <w:pStyle w:val="4"/>
            </w:pPr>
          </w:p>
        </w:tc>
      </w:tr>
      <w:tr>
        <w:tblPrEx>
          <w:tblCellMar>
            <w:top w:w="0" w:type="dxa"/>
            <w:left w:w="10" w:type="dxa"/>
            <w:bottom w:w="0" w:type="dxa"/>
            <w:right w:w="10" w:type="dxa"/>
          </w:tblCellMar>
        </w:tblPrEx>
        <w:trPr>
          <w:gridAfter w:val="4"/>
          <w:wAfter w:w="40" w:type="dxa"/>
          <w:trHeight w:val="224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1,206,700,036.75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64,319,478.64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1,654,112.49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18,915,918.54</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产品9K20923A自成立日以来，累计净值增长率为8.7740%，年化累计净值增长率为3.2283%。</w:t>
            </w:r>
            <w:r>
              <w:rPr>
                <w:rFonts w:ascii="宋体" w:hAnsi="宋体" w:eastAsia="宋体" w:cs="宋体"/>
                <w:color w:val="000000"/>
                <w:sz w:val="21"/>
              </w:rPr>
              <w:br w:type="textWrapping"/>
            </w:r>
            <w:r>
              <w:rPr>
                <w:rFonts w:ascii="宋体" w:hAnsi="宋体" w:eastAsia="宋体" w:cs="宋体"/>
                <w:color w:val="000000"/>
                <w:sz w:val="21"/>
              </w:rPr>
              <w:t>产品9K20923B自成立日以来，累计净值增长率为7.6650%，年化累计净值增长率为2.9052%。</w:t>
            </w:r>
            <w:r>
              <w:rPr>
                <w:rFonts w:ascii="宋体" w:hAnsi="宋体" w:eastAsia="宋体" w:cs="宋体"/>
                <w:color w:val="000000"/>
                <w:sz w:val="21"/>
              </w:rPr>
              <w:br w:type="textWrapping"/>
            </w:r>
            <w:r>
              <w:rPr>
                <w:rFonts w:ascii="宋体" w:hAnsi="宋体" w:eastAsia="宋体" w:cs="宋体"/>
                <w:color w:val="000000"/>
                <w:sz w:val="21"/>
              </w:rPr>
              <w:t>产品9K20923C自成立日以来，累计净值增长率为5.0207%，年化累计净值增长率为2.9227%。</w:t>
            </w:r>
            <w:r>
              <w:rPr>
                <w:rFonts w:ascii="宋体" w:hAnsi="宋体" w:eastAsia="宋体" w:cs="宋体"/>
                <w:color w:val="000000"/>
                <w:sz w:val="21"/>
              </w:rPr>
              <w:br w:type="textWrapping"/>
            </w:r>
            <w:r>
              <w:rPr>
                <w:rFonts w:ascii="宋体" w:hAnsi="宋体" w:eastAsia="宋体" w:cs="宋体"/>
                <w:color w:val="000000"/>
                <w:sz w:val="21"/>
              </w:rPr>
              <w:t>产品9K20923D自成立日以来，累计净值增长率为5.9810%，年化累计净值增长率为2.9541%。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1.08385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1.08698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1,399,886,220.44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1.08461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1.08774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1,308,795,225.16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69,249,421.73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9K20923C</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1.08479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1.08479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1,794,361.13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9K20923D</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1.05981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1.05981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20,047,212.42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1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2123"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招商银行成都分行大额存单20210820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545,742,816.54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24CSFD47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100,283,256.16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80,032,310.60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Z存放同业（线上）20240206011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50,176,562.91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46,507,544.47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21新疆金投MTN001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42,187,152.57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19惠投01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41,036,940.82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21鲁黄金MTN003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31,086,087.05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20西电01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21,346,401.15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22浏阳城建PPN002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21,076,198.69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21鲁黄金MTN003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21新疆金投MTN001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12.3859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兴瀚资管-兴添翼54号集合资产管理计划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0.5796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051010100101200562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89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cumentProtection w:enforcement="0"/>
  <w:defaultTabStop w:val="800"/>
  <w:compat>
    <w:useFELayout/>
    <w:splitPgBreakAndParaMark/>
    <w:compatSetting w:name="compatibilityMode" w:uri="http://schemas.microsoft.com/office/word" w:val="12"/>
  </w:compat>
  <w:rsids>
    <w:rsidRoot w:val="00000000"/>
    <w:rsid w:val="0F283751"/>
    <w:rsid w:val="38232295"/>
    <w:rsid w:val="5EC651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2024-04-19T08:16:00Z</dcterms:created>
  <dc:creator>wot_hufangting_zy</dc:creator>
  <cp:lastModifiedBy>xihonghu</cp:lastModifiedBy>
  <dcterms:modified xsi:type="dcterms:W3CDTF">2024-04-20T07:37:07Z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