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兴银理财稳利丰收封闭式44号固收类理财产品2024年第一季度报告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兴银理财稳利丰收封闭式44号固收类理财产品</w:t>
            </w:r>
            <w:r>
              <w:rPr>
                <w:rFonts w:ascii="宋体" w:hAnsi="宋体" w:eastAsia="宋体" w:cs="宋体"/>
                <w:b/>
                <w:color w:val="000000"/>
                <w:sz w:val="32"/>
              </w:rPr>
              <w:br w:type="textWrapping"/>
            </w:r>
            <w:r>
              <w:rPr>
                <w:rFonts w:ascii="宋体" w:hAnsi="宋体" w:eastAsia="宋体" w:cs="宋体"/>
                <w:b/>
                <w:color w:val="000000"/>
                <w:sz w:val="32"/>
              </w:rPr>
              <w:t>2024年第一季度报告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报告送出日期：2024年4月22日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兴银理财稳利丰收封闭式44号固收类理财产品2024年第一季度报告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兴银理财稳利丰收封闭式44号固收类理财产品2024年第一季度报告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兴银理财稳利丰收封闭式44号固收类理财产品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9C310440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Z7002023000470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80,049,932.75份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9C31044A：3.40%--4.20%/0.00%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稳利丰收封闭式44号A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9C31044A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80,049,932.75</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兴银理财稳利丰收封闭式44号固收类理财产品2024年第一季度报告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产品9C31044A自成立日以来，累计净值增长率为3.3960%，年化累计净值增长率为7.1238%。</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9C310440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1.03396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1.03396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82,768,035.44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9C31044A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1.03396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1.03396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82,768,035.44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现任兴银理财专户投资部投资经理，厦门大学学士，英国赫尔大学金融管理硕士，拥有12年金融从业经验，2019年加入兴业银行资产管理事业部，历任兴业银行资产管理事业部权益投资部、兴银理财股票与量化投资部投资经理。目前管理日盈等各持有期开放式产品和各期限定开专户固收产品。深耕大类资产配置，擅长各类资产的价值挖掘，具有丰富的固收+投资经验，投资风格稳健，累计管理规模超过400亿。</w:t>
            </w:r>
          </w:p>
        </w:tc>
        <w:tc>
          <w:tcPr>
            <w:gridSpan w:val="4"/>
          </w:tcPr>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3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一、2024年一季度市场回顾与产品投资策略</w:t>
            </w:r>
            <w:r>
              <w:rPr>
                <w:rFonts w:ascii="宋体" w:hAnsi="宋体" w:eastAsia="宋体" w:cs="宋体"/>
                <w:color w:val="000000"/>
                <w:sz w:val="21"/>
              </w:rPr>
              <w:br w:type="textWrapping"/>
            </w:r>
            <w:r>
              <w:rPr>
                <w:rFonts w:ascii="宋体" w:hAnsi="宋体" w:eastAsia="宋体" w:cs="宋体"/>
                <w:color w:val="000000"/>
                <w:sz w:val="21"/>
              </w:rPr>
              <w:t>1、市场回顾</w:t>
            </w:r>
            <w:r>
              <w:rPr>
                <w:rFonts w:ascii="宋体" w:hAnsi="宋体" w:eastAsia="宋体" w:cs="宋体"/>
                <w:color w:val="000000"/>
                <w:sz w:val="21"/>
              </w:rPr>
              <w:br w:type="textWrapping"/>
            </w:r>
            <w:r>
              <w:rPr>
                <w:rFonts w:ascii="宋体" w:hAnsi="宋体" w:eastAsia="宋体" w:cs="宋体"/>
                <w:color w:val="000000"/>
                <w:sz w:val="21"/>
              </w:rPr>
              <w:t xml:space="preserve">    2024年以来，债券收益率延续去年四季度下行趋势，10年国债收益率下行约30bp至2.30%附近位置，30年国债收益率下行超35bp至2.45%附近。1年国股NCD一季度收益率下行约15bp至2.23%附近，2-3年AA+信用债收益率整体下行25bp左右至2.55%-2.65%，4-5年国股二级收益率下行40bp至2.60%附近，国股永续下行30bp至2.65%-2.73%。</w:t>
            </w:r>
            <w:r>
              <w:rPr>
                <w:rFonts w:ascii="宋体" w:hAnsi="宋体" w:eastAsia="宋体" w:cs="宋体"/>
                <w:color w:val="000000"/>
                <w:sz w:val="21"/>
              </w:rPr>
              <w:br w:type="textWrapping"/>
            </w:r>
            <w:r>
              <w:rPr>
                <w:rFonts w:ascii="宋体" w:hAnsi="宋体" w:eastAsia="宋体" w:cs="宋体"/>
                <w:color w:val="000000"/>
                <w:sz w:val="21"/>
              </w:rPr>
              <w:t xml:space="preserve">    回顾一季度，基本面、货币政策、机构行为等形成合力，助推各期限收益率下行。宏观基本面方面，内需整体表现偏弱，房地产修复节奏较慢，部分行业产能过剩对PPI形成拖累，核心CPI表现不佳。货币政策方面，2月份降准降息政策先后落地，LPR超预期下调，三月两会财政政策基本符合市场预期，央行表态后续仍有降准的空间。此外，流动性充裕叠加地方债发行节奏偏慢，导致以农商行及保险为代表的长久期配置盘进一步加剧了资产荒行情的演绎。</w:t>
            </w:r>
            <w:r>
              <w:rPr>
                <w:rFonts w:ascii="宋体" w:hAnsi="宋体" w:eastAsia="宋体" w:cs="宋体"/>
                <w:color w:val="000000"/>
                <w:sz w:val="21"/>
              </w:rPr>
              <w:br w:type="textWrapping"/>
            </w:r>
            <w:r>
              <w:rPr>
                <w:rFonts w:ascii="宋体" w:hAnsi="宋体" w:eastAsia="宋体" w:cs="宋体"/>
                <w:color w:val="000000"/>
                <w:sz w:val="21"/>
              </w:rPr>
              <w:t>2、产品运作</w:t>
            </w:r>
            <w:r>
              <w:rPr>
                <w:rFonts w:ascii="宋体" w:hAnsi="宋体" w:eastAsia="宋体" w:cs="宋体"/>
                <w:color w:val="000000"/>
                <w:sz w:val="21"/>
              </w:rPr>
              <w:br w:type="textWrapping"/>
            </w:r>
            <w:r>
              <w:rPr>
                <w:rFonts w:ascii="宋体" w:hAnsi="宋体" w:eastAsia="宋体" w:cs="宋体"/>
                <w:color w:val="000000"/>
                <w:sz w:val="21"/>
              </w:rPr>
              <w:t xml:space="preserve">    年初产品把握了收益率下行的趋势性机会，通过积极交易、公募基金投资等多种途径收获了资本利得。进入3月中下旬，在市场多空博弈频繁、收益率震荡加剧的情况下，通过适度控制久期及杠杆，保证组合在降低产品波动的同时获得了一定的持有收益。整体而言，一季度产品净值实现稳步增长。</w:t>
            </w:r>
            <w:r>
              <w:rPr>
                <w:rFonts w:ascii="宋体" w:hAnsi="宋体" w:eastAsia="宋体" w:cs="宋体"/>
                <w:color w:val="000000"/>
                <w:sz w:val="21"/>
              </w:rPr>
              <w:br w:type="textWrapping"/>
            </w:r>
            <w:r>
              <w:rPr>
                <w:rFonts w:ascii="宋体" w:hAnsi="宋体" w:eastAsia="宋体" w:cs="宋体"/>
                <w:color w:val="000000"/>
                <w:sz w:val="21"/>
              </w:rPr>
              <w:t>二、2024年二季度展望与投资</w:t>
            </w:r>
            <w:r>
              <w:rPr>
                <w:rFonts w:ascii="宋体" w:hAnsi="宋体" w:eastAsia="宋体" w:cs="宋体"/>
                <w:color w:val="000000"/>
                <w:sz w:val="21"/>
              </w:rPr>
              <w:br w:type="textWrapping"/>
            </w:r>
            <w:r>
              <w:rPr>
                <w:rFonts w:ascii="宋体" w:hAnsi="宋体" w:eastAsia="宋体" w:cs="宋体"/>
                <w:color w:val="000000"/>
                <w:sz w:val="21"/>
              </w:rPr>
              <w:t>1、2024年二季度展望</w:t>
            </w:r>
            <w:r>
              <w:rPr>
                <w:rFonts w:ascii="宋体" w:hAnsi="宋体" w:eastAsia="宋体" w:cs="宋体"/>
                <w:color w:val="000000"/>
                <w:sz w:val="21"/>
              </w:rPr>
              <w:br w:type="textWrapping"/>
            </w:r>
            <w:r>
              <w:rPr>
                <w:rFonts w:ascii="宋体" w:hAnsi="宋体" w:eastAsia="宋体" w:cs="宋体"/>
                <w:color w:val="000000"/>
                <w:sz w:val="21"/>
              </w:rPr>
              <w:t xml:space="preserve">    2024年二季度预计基本面整体维持复苏偏弱的节奏。1-2月经济数据及3月PMI显示外需、消费、制造业投资</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兴银理财稳利丰收封闭式44号固收类理财产品2024年第一季度报告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对经</w:t>
            </w:r>
            <w:bookmarkStart w:id="7" w:name="_GoBack"/>
            <w:bookmarkEnd w:id="7"/>
            <w:r>
              <w:rPr>
                <w:rFonts w:ascii="宋体" w:hAnsi="宋体" w:eastAsia="宋体" w:cs="宋体"/>
                <w:color w:val="000000"/>
                <w:sz w:val="21"/>
              </w:rPr>
              <w:t>济企稳形成一定支撑，但是内生增长动能仍不强，地产、融资、通胀等依旧对微观信心和宏观表现形成拖累，结构性产能过剩预计将继续压制价格。一季度跨季之后，资金成本显著转松，且4月是传统信贷投放小月和信用债供给小月，随着上市银行年报披露，存款利率下调还在进行中，债市利多因素居多，3月份PMI虽超预期但有季节性因素，当前对于弱复苏、低通胀、降准降息等的交易难言结束。二季度政府债供给或将一定程度上缓解资产荒，但货币政策预计会配合发行节奏，不会对债市造成较大的冲击。整体而言，对二季度债市维持震荡偏强的判断。</w:t>
            </w:r>
            <w:r>
              <w:rPr>
                <w:rFonts w:ascii="宋体" w:hAnsi="宋体" w:eastAsia="宋体" w:cs="宋体"/>
                <w:color w:val="000000"/>
                <w:sz w:val="21"/>
              </w:rPr>
              <w:br w:type="textWrapping"/>
            </w:r>
            <w:r>
              <w:rPr>
                <w:rFonts w:ascii="宋体" w:hAnsi="宋体" w:eastAsia="宋体" w:cs="宋体"/>
                <w:color w:val="000000"/>
                <w:sz w:val="21"/>
              </w:rPr>
              <w:t>2、投资策略</w:t>
            </w:r>
            <w:r>
              <w:rPr>
                <w:rFonts w:ascii="宋体" w:hAnsi="宋体" w:eastAsia="宋体" w:cs="宋体"/>
                <w:color w:val="000000"/>
                <w:sz w:val="21"/>
              </w:rPr>
              <w:br w:type="textWrapping"/>
            </w:r>
            <w:r>
              <w:rPr>
                <w:rFonts w:ascii="宋体" w:hAnsi="宋体" w:eastAsia="宋体" w:cs="宋体"/>
                <w:color w:val="000000"/>
                <w:sz w:val="21"/>
              </w:rPr>
              <w:t xml:space="preserve">    货币政策方面，降准操作和存款降息预期仍高，中短债下行空间大于长债。策略上继续保持组合杠杆、久期中性，适当增加流动性资产配置，在货币政策落地前积极操作增厚组合收益，同时重点关注债券供给变化带来的交易时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6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91.98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兴银理财稳利丰收封闭式44号固收类理财产品2024年第一季度报告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24知投02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2,990,747.74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23富和01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2,667,595.30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24沪建Y2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2,556,878.05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22余杭农商行二级资本债02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2,264,796.16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20无锡农商永续债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1,786,239.70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23湖州高新PPN001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1,785,809.81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22建工Y6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1,769,842.17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23乐山01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1,768,408.53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财通资管-联易融-陕西建工供应链3期资产支持专项计划优先级资产支持证券</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1,713,101.81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永赢润益债券型证券投资基金</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1,641,021.82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3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兴银理财稳利丰收封闭式44号固收类理财产品2024年第一季度报告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兴银理财稳利丰收封闭式44号固收类理财产品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0.5244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051010100101646172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兴银理财稳利丰收封闭式44号固收类理财产品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2024年4月22日</w:t>
            </w:r>
          </w:p>
        </w:tc>
        <w:tc>
          <w:tcPr>
            <w:gridSpan w:val="4"/>
          </w:tcPr>
          <w:p>
            <w:pPr>
              <w:pStyle w:val="4"/>
            </w:pPr>
          </w:p>
        </w:tc>
        <w:tc>
          <w:p>
            <w:pPr>
              <w:pStyle w:val="4"/>
            </w:pPr>
          </w:p>
        </w:tc>
      </w:tr>
      <w:tr>
        <w:tblPrEx>
          <w:tblCellMar>
            <w:top w:w="0" w:type="dxa"/>
            <w:left w:w="10" w:type="dxa"/>
            <w:bottom w:w="0" w:type="dxa"/>
            <w:right w:w="10" w:type="dxa"/>
          </w:tblCellMar>
        </w:tblPrEx>
        <w:trPr>
          <w:trHeight w:val="4355"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10B52727"/>
    <w:rsid w:val="3B2C4745"/>
    <w:rsid w:val="3DCF0DF1"/>
    <w:rsid w:val="56D2209D"/>
    <w:rsid w:val="649432B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2024-04-19T07:24:52Z</dcterms:created>
  <dc:creator>wot_hufangting_zy</dc:creator>
  <cp:lastModifiedBy>wot_hufangting_zy</cp:lastModifiedBy>
  <dcterms:modified xsi:type="dcterms:W3CDTF">2024-04-19T07:29:40Z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