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兴银理财稳利丰收封闭式38号固收类理财产品2024年第一季度报告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兴银理财稳利丰收封闭式38号固收类理财产品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兴银理财稳利丰收封闭式38号固收类理财产品2024年第一季度报告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兴银理财稳利丰收封闭式38号固收类理财产品2024年第一季度报告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兴银理财稳利丰收封闭式38号固收类理财产品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9C310380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Z7002023000473</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115,657,922份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9C31038A：3.40%--4.20%/0.00%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稳利丰收封闭式38号A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9C31038A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115,657,922.00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兴银理财稳利丰收封闭式38号固收类理财产品2024年第一季度报告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产品9C31038A自成立日以来，累计净值增长率为3.5290%，年化累计净值增长率为5.8022%。</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9C310380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1.03529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1.03529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119,738,952.92</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9C31038A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1.03529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1.03529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119,738,952.92</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235"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兴银理财稳利丰收封闭式38号固收类理财产品2024年第一季度报告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5,849,420.20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兴银理财稳利丰收封闭式38号固收类理财产品2024年第一季度报告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23福建漳州MTN007A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5,729,558.56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23沪建工MTN001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4,815,451.73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4,725,875.64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23沧州交通PPN002(乡村振兴)</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4,687,143.25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22二航Y1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4,599,709.20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义乌市建设投资集团有限公司2021年度第一期定向资产支持票据优先A级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4,356,234.89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23共享02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3,625,060.14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21民生银行永续债01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3,617,005.44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23泰兴城投PPN006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3,609,080.23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兴银理财稳利丰收封闭式38号固收类理财产品2024年第一季度报告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051010100101646447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兴银理财稳利丰收封闭式38号固收类理财产品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25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0F53189E"/>
    <w:rsid w:val="722B6F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2024-04-19T06:46:00Z</dcterms:created>
  <dc:creator>wot_hufangting_zy</dc:creator>
  <cp:lastModifiedBy>wot_hufangting_zy</cp:lastModifiedBy>
  <dcterms:modified xsi:type="dcterms:W3CDTF">2024-04-19T07:17:19Z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