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220"/>
        <w:gridCol w:w="26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pPr>
            <w:bookmarkStart w:id="7" w:name="_GoBack"/>
            <w:bookmarkEnd w:id="7"/>
            <w:bookmarkStart w:id="0" w:name="JR_PAGE_ANCHOR_0_1"/>
            <w:bookmarkEnd w:id="0"/>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wAfter w:w="40" w:type="dxa"/>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兴银理财稳利丰收封闭式37号固收类理财产品2024年第一季度报告</w:t>
            </w:r>
          </w:p>
        </w:tc>
        <w:tc>
          <w:p>
            <w:pPr>
              <w:pStyle w:val="4"/>
            </w:pPr>
          </w:p>
        </w:tc>
      </w:tr>
      <w:tr>
        <w:tblPrEx>
          <w:tblCellMar>
            <w:top w:w="0" w:type="dxa"/>
            <w:left w:w="10" w:type="dxa"/>
            <w:bottom w:w="0" w:type="dxa"/>
            <w:right w:w="10" w:type="dxa"/>
          </w:tblCellMar>
        </w:tblPrEx>
        <w:trPr>
          <w:gridAfter w:val="4"/>
          <w:wAfter w:w="40" w:type="dxa"/>
          <w:trHeight w:val="2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wAfter w:w="40" w:type="dxa"/>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p>
            <w:pPr>
              <w:pStyle w:val="4"/>
            </w:pPr>
          </w:p>
        </w:tc>
      </w:tr>
      <w:tr>
        <w:tblPrEx>
          <w:tblCellMar>
            <w:top w:w="0" w:type="dxa"/>
            <w:left w:w="10" w:type="dxa"/>
            <w:bottom w:w="0" w:type="dxa"/>
            <w:right w:w="10" w:type="dxa"/>
          </w:tblCellMar>
        </w:tblPrEx>
        <w:trPr>
          <w:gridAfter w:val="4"/>
          <w:wAfter w:w="40" w:type="dxa"/>
          <w:trHeight w:val="96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wAfter w:w="40" w:type="dxa"/>
          <w:trHeight w:val="3020" w:hRule="atLeast"/>
        </w:trPr>
        <w:tc>
          <w:p>
            <w:pPr>
              <w:pStyle w:val="4"/>
            </w:pPr>
          </w:p>
        </w:tc>
        <w:tc>
          <w:tcPr>
            <w:gridSpan w:val="15"/>
            <w:tcMar>
              <w:top w:w="0" w:type="dxa"/>
              <w:left w:w="0" w:type="dxa"/>
              <w:bottom w:w="0" w:type="dxa"/>
              <w:right w:w="0" w:type="dxa"/>
            </w:tcMar>
            <w:vAlign w:val="center"/>
          </w:tcPr>
          <w:p>
            <w:pPr>
              <w:spacing w:before="0" w:after="0" w:line="360" w:lineRule="auto"/>
              <w:jc w:val="center"/>
            </w:pPr>
            <w:r>
              <w:rPr>
                <w:rFonts w:ascii="宋体" w:hAnsi="宋体" w:eastAsia="宋体" w:cs="宋体"/>
                <w:b/>
                <w:color w:val="000000"/>
                <w:sz w:val="32"/>
              </w:rPr>
              <w:t>兴银理财稳利丰收封闭式37号固收类理财产品</w:t>
            </w:r>
            <w:r>
              <w:rPr>
                <w:rFonts w:ascii="宋体" w:hAnsi="宋体" w:eastAsia="宋体" w:cs="宋体"/>
                <w:b/>
                <w:color w:val="000000"/>
                <w:sz w:val="32"/>
              </w:rPr>
              <w:br w:type="textWrapping"/>
            </w:r>
            <w:r>
              <w:rPr>
                <w:rFonts w:ascii="宋体" w:hAnsi="宋体" w:eastAsia="宋体" w:cs="宋体"/>
                <w:b/>
                <w:color w:val="000000"/>
                <w:sz w:val="32"/>
              </w:rPr>
              <w:t>2024年第一季度报告</w:t>
            </w:r>
          </w:p>
        </w:tc>
        <w:tc>
          <w:p>
            <w:pPr>
              <w:pStyle w:val="4"/>
            </w:pPr>
          </w:p>
        </w:tc>
      </w:tr>
      <w:tr>
        <w:tblPrEx>
          <w:tblCellMar>
            <w:top w:w="0" w:type="dxa"/>
            <w:left w:w="10" w:type="dxa"/>
            <w:bottom w:w="0" w:type="dxa"/>
            <w:right w:w="10" w:type="dxa"/>
          </w:tblCellMar>
        </w:tblPrEx>
        <w:trPr>
          <w:gridAfter w:val="4"/>
          <w:wAfter w:w="40" w:type="dxa"/>
          <w:trHeight w:val="660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wAfter w:w="40" w:type="dxa"/>
          <w:trHeight w:val="500" w:hRule="atLeast"/>
        </w:trPr>
        <w:tc>
          <w:p>
            <w:pPr>
              <w:pStyle w:val="4"/>
            </w:pPr>
          </w:p>
        </w:tc>
        <w:tc>
          <w:tcPr>
            <w:gridSpan w:val="5"/>
          </w:tcPr>
          <w:p>
            <w:pPr>
              <w:pStyle w:val="4"/>
            </w:pPr>
          </w:p>
        </w:tc>
        <w:tc>
          <w:tcPr>
            <w:gridSpan w:val="7"/>
            <w:tcMar>
              <w:top w:w="0" w:type="dxa"/>
              <w:left w:w="0" w:type="dxa"/>
              <w:bottom w:w="0" w:type="dxa"/>
              <w:right w:w="0" w:type="dxa"/>
            </w:tcMar>
            <w:vAlign w:val="center"/>
          </w:tcPr>
          <w:p>
            <w:pPr>
              <w:jc w:val="left"/>
            </w:pPr>
            <w:r>
              <w:rPr>
                <w:rFonts w:ascii="宋体" w:hAnsi="宋体" w:eastAsia="宋体" w:cs="宋体"/>
                <w:color w:val="000000"/>
                <w:sz w:val="24"/>
              </w:rPr>
              <w:t>理财产品管理人：兴银理财有限责任公司</w:t>
            </w:r>
          </w:p>
        </w:tc>
        <w:tc>
          <w:tcPr>
            <w:gridSpan w:val="3"/>
          </w:tcPr>
          <w:p>
            <w:pPr>
              <w:pStyle w:val="4"/>
            </w:pPr>
          </w:p>
        </w:tc>
        <w:tc>
          <w:p>
            <w:pPr>
              <w:pStyle w:val="4"/>
            </w:pPr>
          </w:p>
        </w:tc>
      </w:tr>
      <w:tr>
        <w:tblPrEx>
          <w:tblCellMar>
            <w:top w:w="0" w:type="dxa"/>
            <w:left w:w="10" w:type="dxa"/>
            <w:bottom w:w="0" w:type="dxa"/>
            <w:right w:w="10" w:type="dxa"/>
          </w:tblCellMar>
        </w:tblPrEx>
        <w:trPr>
          <w:gridAfter w:val="4"/>
          <w:wAfter w:w="40" w:type="dxa"/>
          <w:trHeight w:val="500" w:hRule="atLeast"/>
        </w:trPr>
        <w:tc>
          <w:p>
            <w:pPr>
              <w:pStyle w:val="4"/>
            </w:pPr>
          </w:p>
        </w:tc>
        <w:tc>
          <w:tcPr>
            <w:gridSpan w:val="5"/>
          </w:tcPr>
          <w:p>
            <w:pPr>
              <w:pStyle w:val="4"/>
            </w:pPr>
          </w:p>
        </w:tc>
        <w:tc>
          <w:tcPr>
            <w:gridSpan w:val="7"/>
            <w:tcMar>
              <w:top w:w="0" w:type="dxa"/>
              <w:left w:w="0" w:type="dxa"/>
              <w:bottom w:w="0" w:type="dxa"/>
              <w:right w:w="0" w:type="dxa"/>
            </w:tcMar>
            <w:vAlign w:val="center"/>
          </w:tcPr>
          <w:p>
            <w:pPr>
              <w:jc w:val="left"/>
            </w:pPr>
            <w:r>
              <w:rPr>
                <w:rFonts w:ascii="宋体" w:hAnsi="宋体" w:eastAsia="宋体" w:cs="宋体"/>
                <w:color w:val="000000"/>
                <w:sz w:val="24"/>
              </w:rPr>
              <w:t>理财产品托管人：兴业银行股份有限公司</w:t>
            </w:r>
          </w:p>
        </w:tc>
        <w:tc>
          <w:tcPr>
            <w:gridSpan w:val="3"/>
          </w:tcPr>
          <w:p>
            <w:pPr>
              <w:pStyle w:val="4"/>
            </w:pPr>
          </w:p>
        </w:tc>
        <w:tc>
          <w:p>
            <w:pPr>
              <w:pStyle w:val="4"/>
            </w:pPr>
          </w:p>
        </w:tc>
      </w:tr>
      <w:tr>
        <w:tblPrEx>
          <w:tblCellMar>
            <w:top w:w="0" w:type="dxa"/>
            <w:left w:w="10" w:type="dxa"/>
            <w:bottom w:w="0" w:type="dxa"/>
            <w:right w:w="10" w:type="dxa"/>
          </w:tblCellMar>
        </w:tblPrEx>
        <w:trPr>
          <w:gridAfter w:val="4"/>
          <w:wAfter w:w="40" w:type="dxa"/>
          <w:trHeight w:val="500" w:hRule="atLeast"/>
        </w:trPr>
        <w:tc>
          <w:p>
            <w:pPr>
              <w:pStyle w:val="4"/>
            </w:pPr>
          </w:p>
        </w:tc>
        <w:tc>
          <w:tcPr>
            <w:gridSpan w:val="5"/>
          </w:tcPr>
          <w:p>
            <w:pPr>
              <w:pStyle w:val="4"/>
            </w:pPr>
          </w:p>
        </w:tc>
        <w:tc>
          <w:tcPr>
            <w:gridSpan w:val="7"/>
            <w:tcMar>
              <w:top w:w="0" w:type="dxa"/>
              <w:left w:w="0" w:type="dxa"/>
              <w:bottom w:w="0" w:type="dxa"/>
              <w:right w:w="0" w:type="dxa"/>
            </w:tcMar>
            <w:vAlign w:val="center"/>
          </w:tcPr>
          <w:p>
            <w:pPr>
              <w:jc w:val="left"/>
            </w:pPr>
            <w:r>
              <w:rPr>
                <w:rFonts w:ascii="宋体" w:hAnsi="宋体" w:eastAsia="宋体" w:cs="宋体"/>
                <w:color w:val="000000"/>
                <w:sz w:val="24"/>
              </w:rPr>
              <w:t>报告送出日期：2024年4月22日</w:t>
            </w:r>
          </w:p>
        </w:tc>
        <w:tc>
          <w:tcPr>
            <w:gridSpan w:val="3"/>
          </w:tcPr>
          <w:p>
            <w:pPr>
              <w:pStyle w:val="4"/>
            </w:pPr>
          </w:p>
        </w:tc>
        <w:tc>
          <w:p>
            <w:pPr>
              <w:pStyle w:val="4"/>
            </w:pPr>
          </w:p>
        </w:tc>
      </w:tr>
      <w:tr>
        <w:tblPrEx>
          <w:tblCellMar>
            <w:top w:w="0" w:type="dxa"/>
            <w:left w:w="10" w:type="dxa"/>
            <w:bottom w:w="0" w:type="dxa"/>
            <w:right w:w="10" w:type="dxa"/>
          </w:tblCellMar>
        </w:tblPrEx>
        <w:trPr>
          <w:gridAfter w:val="4"/>
          <w:wAfter w:w="40" w:type="dxa"/>
          <w:trHeight w:val="272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wAfter w:w="40" w:type="dxa"/>
          <w:trHeight w:val="400" w:hRule="atLeast"/>
        </w:trPr>
        <w:tc>
          <w:p>
            <w:pPr>
              <w:pStyle w:val="4"/>
            </w:pPr>
          </w:p>
        </w:tc>
        <w:tc>
          <w:tcPr>
            <w:gridSpan w:val="5"/>
          </w:tcPr>
          <w:p>
            <w:pPr>
              <w:pStyle w:val="4"/>
            </w:pPr>
          </w:p>
        </w:tc>
        <w:tc>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1/</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wAfter w:w="40" w:type="dxa"/>
          <w:trHeight w:val="0" w:hRule="atLeast"/>
        </w:trPr>
        <w:tc>
          <w:p>
            <w:pPr>
              <w:pStyle w:val="4"/>
              <w:pageBreakBefore/>
            </w:pPr>
            <w:bookmarkStart w:id="1" w:name="JR_PAGE_ANCHOR_0_2"/>
            <w:bookmarkEnd w:id="1"/>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wAfter w:w="40" w:type="dxa"/>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兴银理财稳利丰收封闭式37号固收类理财产品2024年第一季度报告</w:t>
            </w:r>
          </w:p>
        </w:tc>
        <w:tc>
          <w:p>
            <w:pPr>
              <w:pStyle w:val="4"/>
            </w:pPr>
          </w:p>
        </w:tc>
      </w:tr>
      <w:tr>
        <w:tblPrEx>
          <w:tblCellMar>
            <w:top w:w="0" w:type="dxa"/>
            <w:left w:w="10" w:type="dxa"/>
            <w:bottom w:w="0" w:type="dxa"/>
            <w:right w:w="10" w:type="dxa"/>
          </w:tblCellMar>
        </w:tblPrEx>
        <w:trPr>
          <w:gridAfter w:val="4"/>
          <w:wAfter w:w="40" w:type="dxa"/>
          <w:trHeight w:val="2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wAfter w:w="40" w:type="dxa"/>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p>
            <w:pPr>
              <w:pStyle w:val="4"/>
            </w:pPr>
          </w:p>
        </w:tc>
      </w:tr>
      <w:tr>
        <w:tblPrEx>
          <w:tblCellMar>
            <w:top w:w="0" w:type="dxa"/>
            <w:left w:w="10" w:type="dxa"/>
            <w:bottom w:w="0" w:type="dxa"/>
            <w:right w:w="10" w:type="dxa"/>
          </w:tblCellMar>
        </w:tblPrEx>
        <w:trPr>
          <w:gridAfter w:val="4"/>
          <w:wAfter w:w="40" w:type="dxa"/>
          <w:trHeight w:val="84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wAfter w:w="40" w:type="dxa"/>
          <w:trHeight w:val="600" w:hRule="atLeast"/>
        </w:trPr>
        <w:tc>
          <w:p>
            <w:pPr>
              <w:pStyle w:val="4"/>
            </w:pPr>
          </w:p>
        </w:tc>
        <w:tc>
          <w:tcPr>
            <w:gridSpan w:val="3"/>
          </w:tcPr>
          <w:p>
            <w:pPr>
              <w:pStyle w:val="4"/>
            </w:pPr>
          </w:p>
        </w:tc>
        <w:tc>
          <w:tcPr>
            <w:gridSpan w:val="3"/>
          </w:tcPr>
          <w:p>
            <w:pPr>
              <w:pStyle w:val="4"/>
            </w:pPr>
          </w:p>
        </w:tc>
        <w:tc>
          <w:tcPr>
            <w:gridSpan w:val="2"/>
          </w:tcPr>
          <w:p>
            <w:pPr>
              <w:pStyle w:val="4"/>
            </w:pPr>
          </w:p>
        </w:tc>
        <w:tc>
          <w:tcPr>
            <w:gridSpan w:val="2"/>
            <w:tcMar>
              <w:top w:w="0" w:type="dxa"/>
              <w:left w:w="0" w:type="dxa"/>
              <w:bottom w:w="0" w:type="dxa"/>
              <w:right w:w="0" w:type="dxa"/>
            </w:tcMar>
            <w:vAlign w:val="top"/>
          </w:tcPr>
          <w:p>
            <w:pPr>
              <w:jc w:val="center"/>
            </w:pPr>
            <w:r>
              <w:rPr>
                <w:rFonts w:ascii="宋体" w:hAnsi="宋体" w:eastAsia="宋体" w:cs="宋体"/>
                <w:b/>
                <w:color w:val="000000"/>
                <w:sz w:val="30"/>
              </w:rPr>
              <w:t>目  录</w:t>
            </w: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wAfter w:w="40" w:type="dxa"/>
          <w:trHeight w:val="44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wAfter w:w="40" w:type="dxa"/>
          <w:trHeight w:val="6840" w:hRule="atLeast"/>
        </w:trPr>
        <w:tc>
          <w:p>
            <w:pPr>
              <w:pStyle w:val="4"/>
            </w:pPr>
          </w:p>
        </w:tc>
        <w:tc>
          <w:tcPr>
            <w:gridSpan w:val="3"/>
          </w:tcPr>
          <w:p>
            <w:pPr>
              <w:pStyle w:val="4"/>
            </w:pPr>
          </w:p>
        </w:tc>
        <w:tc>
          <w:tcPr>
            <w:gridSpan w:val="11"/>
            <w:tcMar>
              <w:top w:w="0" w:type="dxa"/>
              <w:left w:w="0" w:type="dxa"/>
              <w:bottom w:w="0" w:type="dxa"/>
              <w:right w:w="0" w:type="dxa"/>
            </w:tcMar>
            <w:vAlign w:val="top"/>
          </w:tcPr>
          <w:p>
            <w:pPr>
              <w:spacing w:before="0" w:after="0" w:line="336" w:lineRule="auto"/>
              <w:jc w:val="left"/>
            </w:pPr>
            <w:r>
              <w:rPr>
                <w:rFonts w:ascii="宋体" w:hAnsi="宋体" w:eastAsia="宋体" w:cs="宋体"/>
                <w:color w:val="000000"/>
                <w:sz w:val="21"/>
              </w:rPr>
              <w:t>§ 一. 重要提示</w:t>
            </w:r>
            <w:r>
              <w:rPr>
                <w:rFonts w:ascii="宋体" w:hAnsi="宋体" w:eastAsia="宋体" w:cs="宋体"/>
                <w:color w:val="000000"/>
                <w:sz w:val="21"/>
              </w:rPr>
              <w:br w:type="textWrapping"/>
            </w:r>
            <w:r>
              <w:rPr>
                <w:rFonts w:ascii="宋体" w:hAnsi="宋体" w:eastAsia="宋体" w:cs="宋体"/>
                <w:color w:val="000000"/>
                <w:sz w:val="21"/>
              </w:rPr>
              <w:t>§ 二. 产品基本信息</w:t>
            </w:r>
            <w:r>
              <w:rPr>
                <w:rFonts w:ascii="宋体" w:hAnsi="宋体" w:eastAsia="宋体" w:cs="宋体"/>
                <w:color w:val="000000"/>
                <w:sz w:val="21"/>
              </w:rPr>
              <w:br w:type="textWrapping"/>
            </w:r>
            <w:r>
              <w:rPr>
                <w:rFonts w:ascii="宋体" w:hAnsi="宋体" w:eastAsia="宋体" w:cs="宋体"/>
                <w:color w:val="000000"/>
                <w:sz w:val="21"/>
              </w:rPr>
              <w:t>§ 三. 产品收益表现</w:t>
            </w:r>
            <w:r>
              <w:rPr>
                <w:rFonts w:ascii="宋体" w:hAnsi="宋体" w:eastAsia="宋体" w:cs="宋体"/>
                <w:color w:val="000000"/>
                <w:sz w:val="21"/>
              </w:rPr>
              <w:br w:type="textWrapping"/>
            </w:r>
            <w:r>
              <w:rPr>
                <w:rFonts w:ascii="宋体" w:hAnsi="宋体" w:eastAsia="宋体" w:cs="宋体"/>
                <w:color w:val="000000"/>
                <w:sz w:val="21"/>
              </w:rPr>
              <w:t>§ 四. 产品投资经理简介</w:t>
            </w:r>
            <w:r>
              <w:rPr>
                <w:rFonts w:ascii="宋体" w:hAnsi="宋体" w:eastAsia="宋体" w:cs="宋体"/>
                <w:color w:val="000000"/>
                <w:sz w:val="21"/>
              </w:rPr>
              <w:br w:type="textWrapping"/>
            </w:r>
            <w:r>
              <w:rPr>
                <w:rFonts w:ascii="宋体" w:hAnsi="宋体" w:eastAsia="宋体" w:cs="宋体"/>
                <w:color w:val="000000"/>
                <w:sz w:val="21"/>
              </w:rPr>
              <w:t>§ 五. 报告期内产品投资策略</w:t>
            </w:r>
            <w:r>
              <w:rPr>
                <w:rFonts w:ascii="宋体" w:hAnsi="宋体" w:eastAsia="宋体" w:cs="宋体"/>
                <w:color w:val="000000"/>
                <w:sz w:val="21"/>
              </w:rPr>
              <w:br w:type="textWrapping"/>
            </w:r>
            <w:r>
              <w:rPr>
                <w:rFonts w:ascii="宋体" w:hAnsi="宋体" w:eastAsia="宋体" w:cs="宋体"/>
                <w:color w:val="000000"/>
                <w:sz w:val="21"/>
              </w:rPr>
              <w:t>§ 六. 投资组合情况</w:t>
            </w:r>
            <w:r>
              <w:rPr>
                <w:rFonts w:ascii="宋体" w:hAnsi="宋体" w:eastAsia="宋体" w:cs="宋体"/>
                <w:color w:val="000000"/>
                <w:sz w:val="21"/>
              </w:rPr>
              <w:br w:type="textWrapping"/>
            </w:r>
            <w:r>
              <w:rPr>
                <w:rFonts w:ascii="宋体" w:hAnsi="宋体" w:eastAsia="宋体" w:cs="宋体"/>
                <w:color w:val="000000"/>
                <w:sz w:val="21"/>
              </w:rPr>
              <w:t xml:space="preserve">     1. 报告期末资产组合情况</w:t>
            </w:r>
            <w:r>
              <w:rPr>
                <w:rFonts w:ascii="宋体" w:hAnsi="宋体" w:eastAsia="宋体" w:cs="宋体"/>
                <w:color w:val="000000"/>
                <w:sz w:val="21"/>
              </w:rPr>
              <w:br w:type="textWrapping"/>
            </w:r>
            <w:r>
              <w:rPr>
                <w:rFonts w:ascii="宋体" w:hAnsi="宋体" w:eastAsia="宋体" w:cs="宋体"/>
                <w:color w:val="000000"/>
                <w:sz w:val="21"/>
              </w:rPr>
              <w:t xml:space="preserve">     2. 报告期末杠杆融资情况</w:t>
            </w:r>
            <w:r>
              <w:rPr>
                <w:rFonts w:ascii="宋体" w:hAnsi="宋体" w:eastAsia="宋体" w:cs="宋体"/>
                <w:color w:val="000000"/>
                <w:sz w:val="21"/>
              </w:rPr>
              <w:br w:type="textWrapping"/>
            </w:r>
            <w:r>
              <w:rPr>
                <w:rFonts w:ascii="宋体" w:hAnsi="宋体" w:eastAsia="宋体" w:cs="宋体"/>
                <w:color w:val="000000"/>
                <w:sz w:val="21"/>
              </w:rPr>
              <w:t xml:space="preserve">     3. 投资组合的流动性风险分析</w:t>
            </w:r>
            <w:r>
              <w:rPr>
                <w:rFonts w:ascii="宋体" w:hAnsi="宋体" w:eastAsia="宋体" w:cs="宋体"/>
                <w:color w:val="000000"/>
                <w:sz w:val="21"/>
              </w:rPr>
              <w:br w:type="textWrapping"/>
            </w:r>
            <w:r>
              <w:rPr>
                <w:rFonts w:ascii="宋体" w:hAnsi="宋体" w:eastAsia="宋体" w:cs="宋体"/>
                <w:color w:val="000000"/>
                <w:sz w:val="21"/>
              </w:rPr>
              <w:t xml:space="preserve">     4. 报告期末资产持仓前十基本信息</w:t>
            </w:r>
            <w:r>
              <w:rPr>
                <w:rFonts w:ascii="宋体" w:hAnsi="宋体" w:eastAsia="宋体" w:cs="宋体"/>
                <w:color w:val="000000"/>
                <w:sz w:val="21"/>
              </w:rPr>
              <w:br w:type="textWrapping"/>
            </w:r>
            <w:r>
              <w:rPr>
                <w:rFonts w:ascii="宋体" w:hAnsi="宋体" w:eastAsia="宋体" w:cs="宋体"/>
                <w:color w:val="000000"/>
                <w:sz w:val="21"/>
              </w:rPr>
              <w:t xml:space="preserve">     5. 报告期末持有非标准化债权类资产情况</w:t>
            </w:r>
            <w:r>
              <w:rPr>
                <w:rFonts w:ascii="宋体" w:hAnsi="宋体" w:eastAsia="宋体" w:cs="宋体"/>
                <w:color w:val="000000"/>
                <w:sz w:val="21"/>
              </w:rPr>
              <w:br w:type="textWrapping"/>
            </w:r>
            <w:r>
              <w:rPr>
                <w:rFonts w:ascii="宋体" w:hAnsi="宋体" w:eastAsia="宋体" w:cs="宋体"/>
                <w:color w:val="000000"/>
                <w:sz w:val="21"/>
              </w:rPr>
              <w:t xml:space="preserve">     6. 报告期间关联交易情况</w:t>
            </w:r>
            <w:r>
              <w:rPr>
                <w:rFonts w:ascii="宋体" w:hAnsi="宋体" w:eastAsia="宋体" w:cs="宋体"/>
                <w:color w:val="000000"/>
                <w:sz w:val="21"/>
              </w:rPr>
              <w:br w:type="textWrapping"/>
            </w:r>
            <w:r>
              <w:rPr>
                <w:rFonts w:ascii="宋体" w:hAnsi="宋体" w:eastAsia="宋体" w:cs="宋体"/>
                <w:color w:val="000000"/>
                <w:sz w:val="21"/>
              </w:rPr>
              <w:t xml:space="preserve">     7. 投资账户信息</w:t>
            </w:r>
          </w:p>
        </w:tc>
        <w:tc>
          <w:p>
            <w:pPr>
              <w:pStyle w:val="4"/>
            </w:pPr>
          </w:p>
        </w:tc>
        <w:tc>
          <w:p>
            <w:pPr>
              <w:pStyle w:val="4"/>
            </w:pPr>
          </w:p>
        </w:tc>
      </w:tr>
      <w:tr>
        <w:tblPrEx>
          <w:tblCellMar>
            <w:top w:w="0" w:type="dxa"/>
            <w:left w:w="10" w:type="dxa"/>
            <w:bottom w:w="0" w:type="dxa"/>
            <w:right w:w="10" w:type="dxa"/>
          </w:tblCellMar>
        </w:tblPrEx>
        <w:trPr>
          <w:gridAfter w:val="4"/>
          <w:wAfter w:w="40" w:type="dxa"/>
          <w:trHeight w:val="608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wAfter w:w="40" w:type="dxa"/>
          <w:trHeight w:val="400" w:hRule="atLeast"/>
        </w:trPr>
        <w:tc>
          <w:p>
            <w:pPr>
              <w:pStyle w:val="4"/>
            </w:pPr>
          </w:p>
        </w:tc>
        <w:tc>
          <w:tcPr>
            <w:gridSpan w:val="3"/>
          </w:tcPr>
          <w:p>
            <w:pPr>
              <w:pStyle w:val="4"/>
            </w:pPr>
          </w:p>
        </w:tc>
        <w:tc>
          <w:tcPr>
            <w:gridSpan w:val="3"/>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2/</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2"/>
          <w:wAfter w:w="20" w:type="dxa"/>
          <w:trHeight w:val="0" w:hRule="atLeast"/>
        </w:trPr>
        <w:tc>
          <w:p>
            <w:pPr>
              <w:pStyle w:val="4"/>
              <w:pageBreakBefore/>
            </w:pPr>
            <w:bookmarkStart w:id="2" w:name="JR_PAGE_ANCHOR_0_3"/>
            <w:bookmarkEnd w:id="2"/>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兴银理财稳利丰收封闭式37号固收类理财产品2024年第一季度报告</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2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6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一. 重要提示</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2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3080" w:hRule="atLeast"/>
        </w:trPr>
        <w:tc>
          <w:p>
            <w:pPr>
              <w:pStyle w:val="4"/>
            </w:pPr>
          </w:p>
        </w:tc>
        <w:tc>
          <w:tcPr>
            <w:gridSpan w:val="15"/>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pPr>
            <w:r>
              <w:rPr>
                <w:rFonts w:ascii="仿宋" w:hAnsi="仿宋" w:eastAsia="仿宋" w:cs="仿宋"/>
                <w:color w:val="000000"/>
                <w:sz w:val="21"/>
              </w:rPr>
              <w:br w:type="textWrapping"/>
            </w:r>
            <w:r>
              <w:rPr>
                <w:rFonts w:ascii="仿宋" w:hAnsi="仿宋" w:eastAsia="仿宋" w:cs="仿宋"/>
                <w:color w:val="000000"/>
                <w:sz w:val="21"/>
              </w:rPr>
              <w:t xml:space="preserve"> 1. 温馨提醒：理财非存款，产品有风险，投资需谨慎！</w:t>
            </w:r>
            <w:r>
              <w:rPr>
                <w:rFonts w:ascii="仿宋" w:hAnsi="仿宋" w:eastAsia="仿宋" w:cs="仿宋"/>
                <w:color w:val="000000"/>
                <w:sz w:val="21"/>
              </w:rPr>
              <w:br w:type="textWrapping"/>
            </w:r>
            <w:r>
              <w:rPr>
                <w:rFonts w:ascii="仿宋" w:hAnsi="仿宋" w:eastAsia="仿宋" w:cs="仿宋"/>
                <w:color w:val="000000"/>
                <w:sz w:val="21"/>
              </w:rPr>
              <w:t xml:space="preserve"> 2. 理财信息可供参考，详情请咨询理财经理，或在“中国理财网（www.chinawealth.com.cn）”查询该产品相关信息。</w:t>
            </w:r>
            <w:r>
              <w:rPr>
                <w:rFonts w:ascii="仿宋" w:hAnsi="仿宋" w:eastAsia="仿宋" w:cs="仿宋"/>
                <w:color w:val="000000"/>
                <w:sz w:val="21"/>
              </w:rPr>
              <w:br w:type="textWrapping"/>
            </w:r>
            <w:r>
              <w:rPr>
                <w:rFonts w:ascii="仿宋" w:hAnsi="仿宋" w:eastAsia="仿宋" w:cs="仿宋"/>
                <w:color w:val="000000"/>
                <w:sz w:val="21"/>
              </w:rPr>
              <w:t xml:space="preserve"> 3. 兴银理财有限责任公司保留对所有文字说明的最终解释权。</w:t>
            </w:r>
            <w:r>
              <w:rPr>
                <w:rFonts w:ascii="仿宋" w:hAnsi="仿宋" w:eastAsia="仿宋" w:cs="仿宋"/>
                <w:color w:val="000000"/>
                <w:sz w:val="21"/>
              </w:rPr>
              <w:br w:type="textWrapping"/>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6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二. 产品基本情况</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2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产品名称</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pPr>
            <w:r>
              <w:rPr>
                <w:rFonts w:ascii="宋体" w:hAnsi="宋体" w:eastAsia="宋体" w:cs="宋体"/>
                <w:color w:val="000000"/>
                <w:sz w:val="21"/>
              </w:rPr>
              <w:t>兴银理财稳利丰收封闭式37号固收类理财产品</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产品代码</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9C310370</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全国银行业理财信息登记系统登记编码</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Z7002023000466</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产品运作方式</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封闭式</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产品募集方式</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公募</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投资类型</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固定收益类</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报告期末产品份额总额</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120,629,179份</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投资币种</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人民币</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风险等级</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pPr>
            <w:r>
              <w:rPr>
                <w:rFonts w:ascii="宋体" w:hAnsi="宋体" w:eastAsia="宋体" w:cs="宋体"/>
                <w:color w:val="000000"/>
                <w:sz w:val="21"/>
              </w:rPr>
              <w:t>R2</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产品管理人</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兴银理财有限责任公司</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产品托管人</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pPr>
            <w:r>
              <w:rPr>
                <w:rFonts w:ascii="宋体" w:hAnsi="宋体" w:eastAsia="宋体" w:cs="宋体"/>
                <w:color w:val="000000"/>
                <w:sz w:val="21"/>
              </w:rPr>
              <w:t>兴业银行股份有限公司</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业绩比较基准¹/业绩报酬计提基准</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pPr>
            <w:r>
              <w:rPr>
                <w:rFonts w:ascii="宋体" w:hAnsi="宋体" w:eastAsia="宋体" w:cs="宋体"/>
                <w:color w:val="000000"/>
                <w:sz w:val="21"/>
              </w:rPr>
              <w:t>9C31037A：3.40%--4.20%/0.00%</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4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1200" w:hRule="exact"/>
        </w:trPr>
        <w:tc>
          <w:p>
            <w:pPr>
              <w:pStyle w:val="4"/>
            </w:pPr>
          </w:p>
        </w:tc>
        <w:tc>
          <w:p>
            <w:pPr>
              <w:pStyle w:val="4"/>
            </w:pPr>
          </w:p>
        </w:tc>
        <w:tc>
          <w:tcPr>
            <w:gridSpan w:val="16"/>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rPr>
                      <w:trHeight w:val="580" w:hRule="atLeast"/>
                    </w:trPr>
                    <w:tc>
                      <w:tcPr>
                        <w:tcMar>
                          <w:top w:w="0" w:type="dxa"/>
                          <w:left w:w="0" w:type="dxa"/>
                          <w:bottom w:w="0" w:type="dxa"/>
                          <w:right w:w="0" w:type="dxa"/>
                        </w:tcMar>
                        <w:vAlign w:val="center"/>
                      </w:tcPr>
                      <w:p>
                        <w:pPr>
                          <w:ind w:firstLine="0"/>
                          <w:jc w:val="center"/>
                        </w:pPr>
                        <w:r>
                          <w:rPr>
                            <w:rFonts w:ascii="宋体" w:hAnsi="宋体" w:eastAsia="宋体" w:cs="宋体"/>
                            <w:color w:val="000000"/>
                            <w:sz w:val="21"/>
                          </w:rPr>
                          <w:t>下属子份额的销售名称</w:t>
                        </w:r>
                      </w:p>
                    </w:tc>
                    <w:tc>
                      <w:p>
                        <w:pPr>
                          <w:pStyle w:val="4"/>
                        </w:pPr>
                      </w:p>
                    </w:tc>
                  </w:tr>
                </w:tbl>
                <w:p>
                  <w:pPr>
                    <w:pStyle w:val="4"/>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pPr>
                        <w:r>
                          <w:rPr>
                            <w:rFonts w:ascii="宋体" w:hAnsi="宋体" w:eastAsia="宋体" w:cs="宋体"/>
                            <w:color w:val="000000"/>
                            <w:sz w:val="21"/>
                          </w:rPr>
                          <w:t>下属子份额的销售代码</w:t>
                        </w:r>
                      </w:p>
                    </w:tc>
                  </w:tr>
                </w:tbl>
                <w:p>
                  <w:pPr>
                    <w:pStyle w:val="4"/>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pPr>
                        <w:r>
                          <w:rPr>
                            <w:rFonts w:ascii="宋体" w:hAnsi="宋体" w:eastAsia="宋体" w:cs="宋体"/>
                            <w:color w:val="000000"/>
                            <w:sz w:val="21"/>
                          </w:rPr>
                          <w:t>报告期末下属子份额的产品份额总数</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pPr>
                        <w:r>
                          <w:rPr>
                            <w:rFonts w:ascii="宋体" w:hAnsi="宋体" w:eastAsia="宋体" w:cs="宋体"/>
                            <w:color w:val="000000"/>
                            <w:sz w:val="21"/>
                          </w:rPr>
                          <w:t>稳利丰收封闭式37号A</w:t>
                        </w:r>
                      </w:p>
                    </w:tc>
                  </w:tr>
                </w:tbl>
                <w:p>
                  <w:pPr>
                    <w:pStyle w:val="4"/>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9C31037A</w:t>
                        </w:r>
                      </w:p>
                    </w:tc>
                  </w:tr>
                </w:tbl>
                <w:p>
                  <w:pPr>
                    <w:pStyle w:val="4"/>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120,629,179.00</w:t>
                        </w:r>
                      </w:p>
                    </w:tc>
                  </w:tr>
                </w:tbl>
                <w:p>
                  <w:pPr>
                    <w:pStyle w:val="4"/>
                  </w:pPr>
                </w:p>
              </w:tc>
            </w:tr>
          </w:tbl>
          <w:p>
            <w:pPr>
              <w:pStyle w:val="4"/>
            </w:pPr>
          </w:p>
        </w:tc>
        <w:tc>
          <w:p>
            <w:pPr>
              <w:pStyle w:val="4"/>
            </w:pPr>
          </w:p>
        </w:tc>
      </w:tr>
      <w:tr>
        <w:tblPrEx>
          <w:tblCellMar>
            <w:top w:w="0" w:type="dxa"/>
            <w:left w:w="10" w:type="dxa"/>
            <w:bottom w:w="0" w:type="dxa"/>
            <w:right w:w="10" w:type="dxa"/>
          </w:tblCellMar>
        </w:tblPrEx>
        <w:trPr>
          <w:gridAfter w:val="2"/>
          <w:wAfter w:w="20" w:type="dxa"/>
          <w:trHeight w:val="600" w:hRule="atLeast"/>
        </w:trPr>
        <w:tc>
          <w:p>
            <w:pPr>
              <w:pStyle w:val="4"/>
            </w:pPr>
          </w:p>
        </w:tc>
        <w:tc>
          <w:p>
            <w:pPr>
              <w:pStyle w:val="4"/>
            </w:pPr>
          </w:p>
        </w:tc>
        <w:tc>
          <w:tcPr>
            <w:gridSpan w:val="16"/>
            <w:tcMar>
              <w:top w:w="0" w:type="dxa"/>
              <w:left w:w="0" w:type="dxa"/>
              <w:bottom w:w="0" w:type="dxa"/>
              <w:right w:w="0" w:type="dxa"/>
            </w:tcMar>
            <w:vAlign w:val="top"/>
          </w:tcPr>
          <w:p>
            <w:r>
              <w:rPr>
                <w:rFonts w:ascii="宋体" w:hAnsi="宋体" w:eastAsia="宋体" w:cs="宋体"/>
                <w:color w:val="000000"/>
                <w:sz w:val="16"/>
              </w:rPr>
              <w:t>注:本产品的业绩比较基准或业绩报酬计提基准等类似表述不是预期收益率，不代表产品的未来表现和实际收益，不构成对产品收益的承诺，仅供投资者进行投资决定时参考。</w:t>
            </w:r>
          </w:p>
        </w:tc>
        <w:tc>
          <w:p>
            <w:pPr>
              <w:pStyle w:val="4"/>
            </w:pPr>
          </w:p>
        </w:tc>
      </w:tr>
      <w:tr>
        <w:tblPrEx>
          <w:tblCellMar>
            <w:top w:w="0" w:type="dxa"/>
            <w:left w:w="10" w:type="dxa"/>
            <w:bottom w:w="0" w:type="dxa"/>
            <w:right w:w="10" w:type="dxa"/>
          </w:tblCellMar>
        </w:tblPrEx>
        <w:trPr>
          <w:gridAfter w:val="2"/>
          <w:wAfter w:w="20" w:type="dxa"/>
          <w:trHeight w:val="72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400" w:hRule="atLeast"/>
        </w:trPr>
        <w:tc>
          <w:p>
            <w:pPr>
              <w:pStyle w:val="4"/>
            </w:pPr>
          </w:p>
        </w:tc>
        <w:tc>
          <w:p>
            <w:pPr>
              <w:pStyle w:val="4"/>
            </w:pPr>
          </w:p>
        </w:tc>
        <w:tc>
          <w:tcPr>
            <w:gridSpan w:val="5"/>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3/</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3" w:name="JR_PAGE_ANCHOR_0_4"/>
            <w:bookmarkEnd w:id="3"/>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兴银理财稳利丰收封闭式37号固收类理财产品2024年第一季度报告</w:t>
            </w: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三. 产品收益表现</w:t>
            </w:r>
          </w:p>
        </w:tc>
        <w:tc>
          <w:tcPr>
            <w:gridSpan w:val="4"/>
          </w:tcPr>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2"/>
          </w:tcPr>
          <w:p>
            <w:pPr>
              <w:pStyle w:val="4"/>
            </w:pPr>
          </w:p>
        </w:tc>
        <w:tc>
          <w:tcPr>
            <w:gridSpan w:val="11"/>
            <w:tcMar>
              <w:top w:w="0" w:type="dxa"/>
              <w:left w:w="0" w:type="dxa"/>
              <w:bottom w:w="0" w:type="dxa"/>
              <w:right w:w="0" w:type="dxa"/>
            </w:tcMar>
            <w:vAlign w:val="center"/>
          </w:tcPr>
          <w:p>
            <w:pPr>
              <w:spacing w:before="0" w:after="0" w:line="320" w:lineRule="exact"/>
              <w:ind w:firstLine="0"/>
              <w:jc w:val="left"/>
            </w:pPr>
            <w:r>
              <w:rPr>
                <w:rFonts w:ascii="宋体" w:hAnsi="宋体" w:eastAsia="宋体" w:cs="宋体"/>
                <w:color w:val="000000"/>
                <w:sz w:val="21"/>
              </w:rPr>
              <w:t>产品9C31037A自成立日以来，累计净值增长率为3.7010%，年化累计净值增长率为5.8990%。</w:t>
            </w:r>
            <w:r>
              <w:rPr>
                <w:rFonts w:ascii="宋体" w:hAnsi="宋体" w:eastAsia="宋体" w:cs="宋体"/>
                <w:color w:val="000000"/>
                <w:sz w:val="21"/>
              </w:rPr>
              <w:br w:type="textWrapping"/>
            </w:r>
            <w:r>
              <w:rPr>
                <w:rFonts w:ascii="宋体" w:hAnsi="宋体" w:eastAsia="宋体" w:cs="宋体"/>
                <w:color w:val="000000"/>
                <w:sz w:val="21"/>
              </w:rPr>
              <w:t>报告期末，产品净值表现具体如下：</w:t>
            </w: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1200" w:hRule="exact"/>
        </w:trPr>
        <w:tc>
          <w:p>
            <w:pPr>
              <w:pStyle w:val="4"/>
            </w:pPr>
          </w:p>
        </w:tc>
        <w:tc>
          <w:tcPr>
            <w:gridSpan w:val="2"/>
          </w:tcPr>
          <w:p>
            <w:pPr>
              <w:pStyle w:val="4"/>
            </w:pPr>
          </w:p>
        </w:tc>
        <w:tc>
          <w:tcPr>
            <w:gridSpan w:val="17"/>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产品代码</w:t>
                        </w:r>
                      </w:p>
                    </w:tc>
                    <w:tc>
                      <w:p>
                        <w:pPr>
                          <w:pStyle w:val="4"/>
                          <w:jc w:val="center"/>
                        </w:pP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估值日期</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产品份额净值</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产品累计净值</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产品资产净值</w:t>
                        </w:r>
                      </w:p>
                    </w:tc>
                  </w:tr>
                </w:tbl>
                <w:p>
                  <w:pPr>
                    <w:pStyle w:val="4"/>
                    <w:jc w:val="cente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9C310370</w:t>
                        </w:r>
                      </w:p>
                    </w:tc>
                    <w:tc>
                      <w:p>
                        <w:pPr>
                          <w:pStyle w:val="4"/>
                          <w:jc w:val="center"/>
                        </w:pP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2024年3月31日</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1.03701</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1.03701</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125,094,103.83</w:t>
                        </w:r>
                      </w:p>
                    </w:tc>
                  </w:tr>
                </w:tbl>
                <w:p>
                  <w:pPr>
                    <w:pStyle w:val="4"/>
                    <w:jc w:val="center"/>
                  </w:pPr>
                </w:p>
              </w:tc>
            </w:tr>
          </w:tbl>
          <w:p>
            <w:pPr>
              <w:pStyle w:val="4"/>
              <w:jc w:val="center"/>
            </w:pPr>
          </w:p>
        </w:tc>
        <w:tc>
          <w:p>
            <w:pPr>
              <w:pStyle w:val="4"/>
            </w:pPr>
          </w:p>
        </w:tc>
      </w:tr>
      <w:tr>
        <w:tblPrEx>
          <w:tblCellMar>
            <w:top w:w="0" w:type="dxa"/>
            <w:left w:w="10" w:type="dxa"/>
            <w:bottom w:w="0" w:type="dxa"/>
            <w:right w:w="10" w:type="dxa"/>
          </w:tblCellMar>
        </w:tblPrEx>
        <w:trPr>
          <w:trHeight w:val="1200" w:hRule="exact"/>
        </w:trPr>
        <w:tc>
          <w:p>
            <w:pPr>
              <w:pStyle w:val="4"/>
            </w:pPr>
          </w:p>
        </w:tc>
        <w:tc>
          <w:tcPr>
            <w:gridSpan w:val="2"/>
          </w:tcPr>
          <w:p>
            <w:pPr>
              <w:pStyle w:val="4"/>
            </w:pPr>
          </w:p>
        </w:tc>
        <w:tc>
          <w:tcPr>
            <w:gridSpan w:val="17"/>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销售代码</w:t>
                        </w:r>
                      </w:p>
                    </w:tc>
                    <w:tc>
                      <w:p>
                        <w:pPr>
                          <w:pStyle w:val="4"/>
                          <w:jc w:val="center"/>
                        </w:pP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估值日期</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产品份额净值</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产品累计净值</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产品资产净值</w:t>
                        </w:r>
                      </w:p>
                    </w:tc>
                  </w:tr>
                </w:tbl>
                <w:p>
                  <w:pPr>
                    <w:pStyle w:val="4"/>
                    <w:jc w:val="cente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9C31037A</w:t>
                        </w:r>
                      </w:p>
                    </w:tc>
                    <w:tc>
                      <w:p>
                        <w:pPr>
                          <w:pStyle w:val="4"/>
                          <w:jc w:val="center"/>
                        </w:pP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2024年3月31日</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1.03701</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1.03701</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125,094,103.83</w:t>
                        </w:r>
                      </w:p>
                    </w:tc>
                  </w:tr>
                </w:tbl>
                <w:p>
                  <w:pPr>
                    <w:pStyle w:val="4"/>
                    <w:jc w:val="center"/>
                  </w:pPr>
                </w:p>
              </w:tc>
            </w:tr>
          </w:tbl>
          <w:p>
            <w:pPr>
              <w:pStyle w:val="4"/>
              <w:jc w:val="center"/>
            </w:pPr>
          </w:p>
        </w:tc>
        <w:tc>
          <w:p>
            <w:pPr>
              <w:pStyle w:val="4"/>
            </w:pPr>
          </w:p>
        </w:tc>
      </w:tr>
      <w:tr>
        <w:tblPrEx>
          <w:tblCellMar>
            <w:top w:w="0" w:type="dxa"/>
            <w:left w:w="10" w:type="dxa"/>
            <w:bottom w:w="0" w:type="dxa"/>
            <w:right w:w="10" w:type="dxa"/>
          </w:tblCellMar>
        </w:tblPrEx>
        <w:trPr>
          <w:trHeight w:val="56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四. 产品投资经理简介</w:t>
            </w:r>
          </w:p>
        </w:tc>
        <w:tc>
          <w:tcPr>
            <w:gridSpan w:val="4"/>
          </w:tcPr>
          <w:p>
            <w:pPr>
              <w:pStyle w:val="4"/>
            </w:pPr>
          </w:p>
        </w:tc>
        <w:tc>
          <w:p>
            <w:pPr>
              <w:pStyle w:val="4"/>
            </w:pPr>
          </w:p>
        </w:tc>
      </w:tr>
      <w:tr>
        <w:tblPrEx>
          <w:tblCellMar>
            <w:top w:w="0" w:type="dxa"/>
            <w:left w:w="10" w:type="dxa"/>
            <w:bottom w:w="0" w:type="dxa"/>
            <w:right w:w="10" w:type="dxa"/>
          </w:tblCellMar>
        </w:tblPrEx>
        <w:trPr>
          <w:trHeight w:val="42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1240" w:hRule="atLeast"/>
        </w:trPr>
        <w:tc>
          <w:p>
            <w:pPr>
              <w:pStyle w:val="4"/>
            </w:pPr>
          </w:p>
        </w:tc>
        <w:tc>
          <w:tcPr>
            <w:gridSpan w:val="15"/>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邓铮先生，现任兴银理财专户投资部投资经理，厦门大学学士，英国赫尔大学金融管理硕士，拥有12年金融从业经验，2019年加入兴业银行资产管理事业部，历任兴业银行资产管理事业部权益投资部、兴银理财股票与量化投资部投资经理。目前管理日盈等各持有期开放式产品和各期限定开专户固收产品。深耕大类资产配置，擅长各类资产的价值挖掘，具有丰富的固收+投资经验，投资风格稳健，累计管理规模超过400亿。</w:t>
            </w:r>
          </w:p>
        </w:tc>
        <w:tc>
          <w:tcPr>
            <w:gridSpan w:val="4"/>
          </w:tcPr>
          <w:p>
            <w:pPr>
              <w:pStyle w:val="4"/>
            </w:pPr>
          </w:p>
        </w:tc>
        <w:tc>
          <w:p>
            <w:pPr>
              <w:pStyle w:val="4"/>
            </w:pPr>
          </w:p>
        </w:tc>
      </w:tr>
      <w:tr>
        <w:tblPrEx>
          <w:tblCellMar>
            <w:top w:w="0" w:type="dxa"/>
            <w:left w:w="10" w:type="dxa"/>
            <w:bottom w:w="0" w:type="dxa"/>
            <w:right w:w="10" w:type="dxa"/>
          </w:tblCellMar>
        </w:tblPrEx>
        <w:trPr>
          <w:trHeight w:val="72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五. 报告期内产品的投资策略和运作分析</w:t>
            </w:r>
          </w:p>
        </w:tc>
        <w:tc>
          <w:tcPr>
            <w:gridSpan w:val="4"/>
          </w:tcPr>
          <w:p>
            <w:pPr>
              <w:pStyle w:val="4"/>
            </w:pPr>
          </w:p>
        </w:tc>
        <w:tc>
          <w:p>
            <w:pPr>
              <w:pStyle w:val="4"/>
            </w:pPr>
          </w:p>
        </w:tc>
      </w:tr>
      <w:tr>
        <w:tblPrEx>
          <w:tblCellMar>
            <w:top w:w="0" w:type="dxa"/>
            <w:left w:w="10" w:type="dxa"/>
            <w:bottom w:w="0" w:type="dxa"/>
            <w:right w:w="10" w:type="dxa"/>
          </w:tblCellMar>
        </w:tblPrEx>
        <w:trPr>
          <w:trHeight w:val="42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5640" w:hRule="atLeast"/>
        </w:trPr>
        <w:tc>
          <w:p>
            <w:pPr>
              <w:pStyle w:val="4"/>
            </w:pPr>
          </w:p>
        </w:tc>
        <w:tc>
          <w:tcPr>
            <w:gridSpan w:val="15"/>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一、2024年一季度市场回顾与产品投资策略</w:t>
            </w:r>
            <w:r>
              <w:rPr>
                <w:rFonts w:ascii="宋体" w:hAnsi="宋体" w:eastAsia="宋体" w:cs="宋体"/>
                <w:color w:val="000000"/>
                <w:sz w:val="21"/>
              </w:rPr>
              <w:br w:type="textWrapping"/>
            </w:r>
            <w:r>
              <w:rPr>
                <w:rFonts w:ascii="宋体" w:hAnsi="宋体" w:eastAsia="宋体" w:cs="宋体"/>
                <w:color w:val="000000"/>
                <w:sz w:val="21"/>
              </w:rPr>
              <w:t>1、市场回顾</w:t>
            </w:r>
            <w:r>
              <w:rPr>
                <w:rFonts w:ascii="宋体" w:hAnsi="宋体" w:eastAsia="宋体" w:cs="宋体"/>
                <w:color w:val="000000"/>
                <w:sz w:val="21"/>
              </w:rPr>
              <w:br w:type="textWrapping"/>
            </w:r>
            <w:r>
              <w:rPr>
                <w:rFonts w:ascii="宋体" w:hAnsi="宋体" w:eastAsia="宋体" w:cs="宋体"/>
                <w:color w:val="000000"/>
                <w:sz w:val="21"/>
              </w:rPr>
              <w:t xml:space="preserve">    2024年以来，债券收益率延续去年四季度下行趋势，10年国债收益率下行约30bp至2.30%附近位置，30年国债收益率下行超35bp至2.45%附近。1年国股NCD一季度收益率下行约15bp至2.23%附近，2-3年AA+信用债收益率整体下行25bp左右至2.55%-2.65%，4-5年国股二级收益率下行40bp至2.60%附近，国股永续下行30bp至2.65%-2.73%。</w:t>
            </w:r>
            <w:r>
              <w:rPr>
                <w:rFonts w:ascii="宋体" w:hAnsi="宋体" w:eastAsia="宋体" w:cs="宋体"/>
                <w:color w:val="000000"/>
                <w:sz w:val="21"/>
              </w:rPr>
              <w:br w:type="textWrapping"/>
            </w:r>
            <w:r>
              <w:rPr>
                <w:rFonts w:ascii="宋体" w:hAnsi="宋体" w:eastAsia="宋体" w:cs="宋体"/>
                <w:color w:val="000000"/>
                <w:sz w:val="21"/>
              </w:rPr>
              <w:t xml:space="preserve">    回顾一季度，基本面、货币政策、机构行为等形成合力，助推各期限收益率下行。宏观基本面方面，内需整体表现偏弱，房地产修复节奏较慢，部分行业产能过剩对PPI形成拖累，核心CPI表现不佳。货币政策方面，2月份降准降息政策先后落地，LPR超预期下调，三月两会财政政策基本符合市场预期，央行表态后续仍有降准的空间。此外，流动性充裕叠加地方债发行节奏偏慢，导致以农商行及保险为代表的长久期配置盘进一步加剧了资产荒行情的演绎。</w:t>
            </w:r>
            <w:r>
              <w:rPr>
                <w:rFonts w:ascii="宋体" w:hAnsi="宋体" w:eastAsia="宋体" w:cs="宋体"/>
                <w:color w:val="000000"/>
                <w:sz w:val="21"/>
              </w:rPr>
              <w:br w:type="textWrapping"/>
            </w:r>
            <w:r>
              <w:rPr>
                <w:rFonts w:ascii="宋体" w:hAnsi="宋体" w:eastAsia="宋体" w:cs="宋体"/>
                <w:color w:val="000000"/>
                <w:sz w:val="21"/>
              </w:rPr>
              <w:t>2、产品运作</w:t>
            </w:r>
            <w:r>
              <w:rPr>
                <w:rFonts w:ascii="宋体" w:hAnsi="宋体" w:eastAsia="宋体" w:cs="宋体"/>
                <w:color w:val="000000"/>
                <w:sz w:val="21"/>
              </w:rPr>
              <w:br w:type="textWrapping"/>
            </w:r>
            <w:r>
              <w:rPr>
                <w:rFonts w:ascii="宋体" w:hAnsi="宋体" w:eastAsia="宋体" w:cs="宋体"/>
                <w:color w:val="000000"/>
                <w:sz w:val="21"/>
              </w:rPr>
              <w:t xml:space="preserve">    年初产品把握了收益率下行的趋势性机会，通过积极交易、公募基金投资等多种途径收获了资本利得。进入3月中下旬，在市场多空博弈频繁、收益率震荡加剧的情况下，通过适度控制久期及杠杆，保证组合在降低产品波动的同时获得了一定的持有收益。整体而言，一季度产品净值实现稳步增长。</w:t>
            </w:r>
            <w:r>
              <w:rPr>
                <w:rFonts w:ascii="宋体" w:hAnsi="宋体" w:eastAsia="宋体" w:cs="宋体"/>
                <w:color w:val="000000"/>
                <w:sz w:val="21"/>
              </w:rPr>
              <w:br w:type="textWrapping"/>
            </w:r>
            <w:r>
              <w:rPr>
                <w:rFonts w:ascii="宋体" w:hAnsi="宋体" w:eastAsia="宋体" w:cs="宋体"/>
                <w:color w:val="000000"/>
                <w:sz w:val="21"/>
              </w:rPr>
              <w:t>二、2024年二季度展望与投资</w:t>
            </w:r>
            <w:r>
              <w:rPr>
                <w:rFonts w:ascii="宋体" w:hAnsi="宋体" w:eastAsia="宋体" w:cs="宋体"/>
                <w:color w:val="000000"/>
                <w:sz w:val="21"/>
              </w:rPr>
              <w:br w:type="textWrapping"/>
            </w:r>
            <w:r>
              <w:rPr>
                <w:rFonts w:ascii="宋体" w:hAnsi="宋体" w:eastAsia="宋体" w:cs="宋体"/>
                <w:color w:val="000000"/>
                <w:sz w:val="21"/>
              </w:rPr>
              <w:t>1、2024年二季度展望</w:t>
            </w:r>
            <w:r>
              <w:rPr>
                <w:rFonts w:ascii="宋体" w:hAnsi="宋体" w:eastAsia="宋体" w:cs="宋体"/>
                <w:color w:val="000000"/>
                <w:sz w:val="21"/>
              </w:rPr>
              <w:br w:type="textWrapping"/>
            </w:r>
            <w:r>
              <w:rPr>
                <w:rFonts w:ascii="宋体" w:hAnsi="宋体" w:eastAsia="宋体" w:cs="宋体"/>
                <w:color w:val="000000"/>
                <w:sz w:val="21"/>
              </w:rPr>
              <w:t xml:space="preserve">    2024年二季度预计基本面整体维持复苏偏弱的节奏。1-2月经济数据及3月PMI显示外需、消费、制造业投资</w:t>
            </w:r>
          </w:p>
        </w:tc>
        <w:tc>
          <w:tcPr>
            <w:gridSpan w:val="4"/>
          </w:tcPr>
          <w:p>
            <w:pPr>
              <w:pStyle w:val="4"/>
            </w:pPr>
          </w:p>
        </w:tc>
        <w:tc>
          <w:p>
            <w:pPr>
              <w:pStyle w:val="4"/>
            </w:pPr>
          </w:p>
        </w:tc>
      </w:tr>
      <w:tr>
        <w:tblPrEx>
          <w:tblCellMar>
            <w:top w:w="0" w:type="dxa"/>
            <w:left w:w="10" w:type="dxa"/>
            <w:bottom w:w="0" w:type="dxa"/>
            <w:right w:w="10" w:type="dxa"/>
          </w:tblCellMar>
        </w:tblPrEx>
        <w:trPr>
          <w:trHeight w:val="220" w:hRule="atLeast"/>
        </w:trPr>
        <w:tc>
          <w:p>
            <w:pPr>
              <w:pStyle w:val="4"/>
            </w:pPr>
          </w:p>
        </w:tc>
        <w:tc>
          <w:tcPr>
            <w:gridSpan w:val="2"/>
          </w:tcPr>
          <w:p>
            <w:pPr>
              <w:pStyle w:val="4"/>
            </w:pPr>
          </w:p>
        </w:tc>
        <w:tc>
          <w:tcPr>
            <w:gridSpan w:val="4"/>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4/</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4" w:name="JR_PAGE_ANCHOR_0_5"/>
            <w:bookmarkEnd w:id="4"/>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兴银理财稳利丰收封闭式37号固收类理财产品2024年第一季度报告</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900" w:hRule="atLeast"/>
        </w:trPr>
        <w:tc>
          <w:p>
            <w:pPr>
              <w:pStyle w:val="4"/>
            </w:pPr>
          </w:p>
        </w:tc>
        <w:tc>
          <w:tcPr>
            <w:gridSpan w:val="15"/>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对经济企稳形成一定支撑，但是内生增长动能仍不强，地产、融资、通胀等依旧对微观信心和宏观表现形成拖累，结构性产能过剩预计将继续压制价格。一季度跨季之后，资金成本显著转松，且4月是传统信贷投放小月和信用债供给小月，随着上市银行年报披露，存款利率下调还在进行中，债市利多因素居多，3月份PMI虽超预期但有季节性因素，当前对于弱复苏、低通胀、降准降息等的交易难言结束。二季度政府债供给或将一定程度上缓解资产荒，但货币政策预计会配合发行节奏，不会对债市造成较大的冲击。整体而言，对二季度债市维持震荡偏强的判断。</w:t>
            </w:r>
            <w:r>
              <w:rPr>
                <w:rFonts w:ascii="宋体" w:hAnsi="宋体" w:eastAsia="宋体" w:cs="宋体"/>
                <w:color w:val="000000"/>
                <w:sz w:val="21"/>
              </w:rPr>
              <w:br w:type="textWrapping"/>
            </w:r>
            <w:r>
              <w:rPr>
                <w:rFonts w:ascii="宋体" w:hAnsi="宋体" w:eastAsia="宋体" w:cs="宋体"/>
                <w:color w:val="000000"/>
                <w:sz w:val="21"/>
              </w:rPr>
              <w:t>2、投资策略</w:t>
            </w:r>
            <w:r>
              <w:rPr>
                <w:rFonts w:ascii="宋体" w:hAnsi="宋体" w:eastAsia="宋体" w:cs="宋体"/>
                <w:color w:val="000000"/>
                <w:sz w:val="21"/>
              </w:rPr>
              <w:br w:type="textWrapping"/>
            </w:r>
            <w:r>
              <w:rPr>
                <w:rFonts w:ascii="宋体" w:hAnsi="宋体" w:eastAsia="宋体" w:cs="宋体"/>
                <w:color w:val="000000"/>
                <w:sz w:val="21"/>
              </w:rPr>
              <w:t xml:space="preserve">    货币政策方面，降准操作和存款降息预期仍高，中短债下行空间大于长债。策略上继续保持组合杠杆、久期中性，适当增加流动性资产配置，在货币政策落地前积极操作增厚组合收益，同时重点关注债券供给变化带来的交易时机。</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58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六. 投资组合情况</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0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p>
            <w:pPr>
              <w:pStyle w:val="4"/>
            </w:pPr>
          </w:p>
        </w:tc>
        <w:tc>
          <w:tcPr>
            <w:gridSpan w:val="16"/>
            <w:tcMar>
              <w:top w:w="0" w:type="dxa"/>
              <w:left w:w="0" w:type="dxa"/>
              <w:bottom w:w="0" w:type="dxa"/>
              <w:right w:w="0" w:type="dxa"/>
            </w:tcMar>
            <w:vAlign w:val="center"/>
          </w:tcPr>
          <w:p>
            <w:pPr>
              <w:jc w:val="left"/>
            </w:pPr>
            <w:r>
              <w:rPr>
                <w:rFonts w:ascii="宋体" w:hAnsi="宋体" w:eastAsia="宋体" w:cs="宋体"/>
                <w:b/>
                <w:color w:val="000000"/>
                <w:sz w:val="21"/>
              </w:rPr>
              <w:t>1.报告期末产品资产组合情况</w:t>
            </w:r>
          </w:p>
        </w:tc>
        <w:tc>
          <w:tcPr>
            <w:gridSpan w:val="2"/>
          </w:tcPr>
          <w:p>
            <w:pPr>
              <w:pStyle w:val="4"/>
            </w:pPr>
          </w:p>
        </w:tc>
        <w:tc>
          <w:p>
            <w:pPr>
              <w:pStyle w:val="4"/>
            </w:pPr>
          </w:p>
        </w:tc>
      </w:tr>
      <w:tr>
        <w:tblPrEx>
          <w:tblCellMar>
            <w:top w:w="0" w:type="dxa"/>
            <w:left w:w="10" w:type="dxa"/>
            <w:bottom w:w="0" w:type="dxa"/>
            <w:right w:w="10" w:type="dxa"/>
          </w:tblCellMar>
        </w:tblPrEx>
        <w:trPr>
          <w:trHeight w:val="4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3000" w:hRule="exact"/>
        </w:trPr>
        <w:tc>
          <w:p>
            <w:pPr>
              <w:pStyle w:val="4"/>
            </w:pPr>
          </w:p>
        </w:tc>
        <w:tc>
          <w:p>
            <w:pPr>
              <w:pStyle w:val="4"/>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资产类型</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直接投资占产品总资产的比例（%）</w:t>
                        </w:r>
                      </w:p>
                    </w:tc>
                  </w:tr>
                </w:tbl>
                <w:p>
                  <w:pPr>
                    <w:pStyle w:val="4"/>
                  </w:pPr>
                </w:p>
              </w:tc>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现金及银行存款</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0.01</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0.45</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债券</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0.00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99.55</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委外投资</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99.99</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0.00</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总计</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100.00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100.00</w:t>
                        </w:r>
                      </w:p>
                    </w:tc>
                  </w:tr>
                </w:tbl>
                <w:p>
                  <w:pPr>
                    <w:pStyle w:val="4"/>
                  </w:pPr>
                </w:p>
              </w:tc>
            </w:tr>
          </w:tbl>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5"/>
            <w:tcMar>
              <w:top w:w="0" w:type="dxa"/>
              <w:left w:w="0" w:type="dxa"/>
              <w:bottom w:w="0" w:type="dxa"/>
              <w:right w:w="0" w:type="dxa"/>
            </w:tcMar>
            <w:vAlign w:val="center"/>
          </w:tcPr>
          <w:p>
            <w:pPr>
              <w:jc w:val="left"/>
            </w:pPr>
            <w:r>
              <w:rPr>
                <w:rFonts w:ascii="宋体" w:hAnsi="宋体" w:eastAsia="宋体" w:cs="宋体"/>
                <w:b/>
                <w:color w:val="000000"/>
                <w:sz w:val="21"/>
              </w:rPr>
              <w:t>2.报告期末杠杆融资情况</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1000" w:hRule="atLeast"/>
        </w:trPr>
        <w:tc>
          <w:p>
            <w:pPr>
              <w:pStyle w:val="4"/>
            </w:pPr>
          </w:p>
        </w:tc>
        <w:tc>
          <w:tcPr>
            <w:gridSpan w:val="15"/>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报告期末本产品总资产未超过该产品净资产规模的200%，符合产品协议对本产品杠杆比例的要求。</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5"/>
            <w:tcMar>
              <w:top w:w="0" w:type="dxa"/>
              <w:left w:w="0" w:type="dxa"/>
              <w:bottom w:w="0" w:type="dxa"/>
              <w:right w:w="0" w:type="dxa"/>
            </w:tcMar>
            <w:vAlign w:val="center"/>
          </w:tcPr>
          <w:p>
            <w:pPr>
              <w:jc w:val="left"/>
            </w:pPr>
            <w:r>
              <w:rPr>
                <w:rFonts w:ascii="宋体" w:hAnsi="宋体" w:eastAsia="宋体" w:cs="宋体"/>
                <w:b/>
                <w:color w:val="000000"/>
                <w:sz w:val="21"/>
              </w:rPr>
              <w:t>3.投资组合的流动性风险分析</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240" w:hRule="atLeast"/>
        </w:trPr>
        <w:tc>
          <w:p>
            <w:pPr>
              <w:pStyle w:val="4"/>
            </w:pPr>
          </w:p>
        </w:tc>
        <w:tc>
          <w:tcPr>
            <w:gridSpan w:val="15"/>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流动性风险是指产品在履行与金融负债有关的义务时遇到资金短缺的风险。本产品的流动性风险主要来自于若投资品种所处的交易市场不活跃，可能带来资产变现困难或产品持仓资产在市场出现剧烈波动的情况下难以以合理价格变现的风险。 为防范无法支付到期赎回款而产生的流动性风险，本理财产品管理人将合理安排所投资产期限，产品到期前完成所投资组合中相关资产变现，尽可能降低产品流动性风险，有效保障理财持有人利益。 报告期内，本理财产品管理人严格遵守相关法律法规以及产品销售协议，对理财产品组合资产的流动性风险进行管理，报告期内未发生流动性风险。</w:t>
            </w:r>
            <w:r>
              <w:rPr>
                <w:rFonts w:ascii="宋体" w:hAnsi="宋体" w:eastAsia="宋体" w:cs="宋体"/>
                <w:color w:val="000000"/>
                <w:sz w:val="21"/>
              </w:rPr>
              <w:br w:type="textWrapping"/>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54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p>
            <w:pPr>
              <w:pStyle w:val="4"/>
            </w:pPr>
          </w:p>
        </w:tc>
        <w:tc>
          <w:p>
            <w:pPr>
              <w:pStyle w:val="4"/>
            </w:pPr>
          </w:p>
        </w:tc>
        <w:tc>
          <w:tcPr>
            <w:gridSpan w:val="17"/>
            <w:tcMar>
              <w:top w:w="0" w:type="dxa"/>
              <w:left w:w="0" w:type="dxa"/>
              <w:bottom w:w="0" w:type="dxa"/>
              <w:right w:w="0" w:type="dxa"/>
            </w:tcMar>
            <w:vAlign w:val="center"/>
          </w:tcPr>
          <w:p>
            <w:r>
              <w:rPr>
                <w:rFonts w:ascii="宋体" w:hAnsi="宋体" w:eastAsia="宋体" w:cs="宋体"/>
                <w:b/>
                <w:color w:val="000000"/>
                <w:sz w:val="21"/>
              </w:rPr>
              <w:t>4.报告期末资产持仓前十基本信息</w:t>
            </w:r>
          </w:p>
        </w:tc>
        <w:tc>
          <w:p>
            <w:pPr>
              <w:pStyle w:val="4"/>
            </w:pPr>
          </w:p>
        </w:tc>
      </w:tr>
      <w:tr>
        <w:tblPrEx>
          <w:tblCellMar>
            <w:top w:w="0" w:type="dxa"/>
            <w:left w:w="10" w:type="dxa"/>
            <w:bottom w:w="0" w:type="dxa"/>
            <w:right w:w="10" w:type="dxa"/>
          </w:tblCellMar>
        </w:tblPrEx>
        <w:trPr>
          <w:trHeight w:val="1240" w:hRule="exact"/>
        </w:trPr>
        <w:tc>
          <w:p>
            <w:pPr>
              <w:pStyle w:val="4"/>
            </w:pPr>
          </w:p>
        </w:tc>
        <w:tc>
          <w:p>
            <w:pPr>
              <w:pStyle w:val="4"/>
            </w:pPr>
          </w:p>
        </w:tc>
        <w:tc>
          <w:p>
            <w:pPr>
              <w:pStyle w:val="4"/>
            </w:pPr>
          </w:p>
        </w:tc>
        <w:tc>
          <w:tcPr>
            <w:gridSpan w:val="17"/>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资产名称</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资产规模</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占产品资产净值的比例（%）</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22建工Y6</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6,109,995.20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4.88</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24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p>
            <w:pPr>
              <w:pStyle w:val="4"/>
            </w:pPr>
          </w:p>
        </w:tc>
        <w:tc>
          <w:p>
            <w:pPr>
              <w:pStyle w:val="4"/>
            </w:pPr>
          </w:p>
        </w:tc>
        <w:tc>
          <w:tcPr>
            <w:gridSpan w:val="4"/>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5/</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tcPr>
            <w:gridSpan w:val="4"/>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5" w:name="JR_PAGE_ANCHOR_0_6"/>
            <w:bookmarkEnd w:id="5"/>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兴银理财稳利丰收封闭式37号固收类理财产品2024年第一季度报告</w:t>
            </w: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5400" w:hRule="exact"/>
        </w:trPr>
        <w:tc>
          <w:p>
            <w:pPr>
              <w:pStyle w:val="4"/>
            </w:pPr>
          </w:p>
        </w:tc>
        <w:tc>
          <w:tcPr>
            <w:gridSpan w:val="2"/>
          </w:tcPr>
          <w:p>
            <w:pPr>
              <w:pStyle w:val="4"/>
            </w:pPr>
          </w:p>
        </w:tc>
        <w:tc>
          <w:tcPr>
            <w:gridSpan w:val="17"/>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23福建漳州MTN007A</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5,984,794.06</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4.78</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23沪建工MTN001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5,029,966.38</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4.02</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22厦门农商二级01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4,936,399.93</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3.95</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23沧州交通PPN002(乡村振兴)</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4,895,942.12</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3.91</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22二航Y1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4,804,613.14</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3.84</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7</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义乌市建设投资集团有限公司2021年度第一期定向资产支持票据优先A级</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4,550,292.74</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3.64</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8</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23共享02</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3,786,546.24</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3.03</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21民生银行永续债01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3,778,132.72</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3.02</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23泰兴城投PPN006</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3,769,854.47</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3.01</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2"/>
          </w:tcPr>
          <w:p>
            <w:pPr>
              <w:pStyle w:val="4"/>
            </w:pPr>
          </w:p>
        </w:tc>
        <w:tc>
          <w:tcPr>
            <w:gridSpan w:val="17"/>
            <w:tcMar>
              <w:top w:w="0" w:type="dxa"/>
              <w:left w:w="0" w:type="dxa"/>
              <w:bottom w:w="0" w:type="dxa"/>
              <w:right w:w="0" w:type="dxa"/>
            </w:tcMar>
            <w:vAlign w:val="center"/>
          </w:tcPr>
          <w:p>
            <w:r>
              <w:rPr>
                <w:rFonts w:ascii="宋体" w:hAnsi="宋体" w:eastAsia="宋体" w:cs="宋体"/>
                <w:b/>
                <w:color w:val="000000"/>
                <w:sz w:val="21"/>
              </w:rPr>
              <w:t>5.报告期末持有非标准化债权类资产情况</w:t>
            </w: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2"/>
          </w:tcPr>
          <w:p>
            <w:pPr>
              <w:pStyle w:val="4"/>
            </w:pPr>
          </w:p>
        </w:tc>
        <w:tc>
          <w:tcPr>
            <w:gridSpan w:val="17"/>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项目名称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融资客户</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剩余融资期限（天）</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交易结构</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风险状况</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2"/>
          </w:tcPr>
          <w:p>
            <w:pPr>
              <w:pStyle w:val="4"/>
            </w:pPr>
          </w:p>
        </w:tc>
        <w:tc>
          <w:tcPr>
            <w:gridSpan w:val="17"/>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1"/>
                          </w:rPr>
                          <w:t>无</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52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5"/>
            <w:tcMar>
              <w:top w:w="0" w:type="dxa"/>
              <w:left w:w="0" w:type="dxa"/>
              <w:bottom w:w="0" w:type="dxa"/>
              <w:right w:w="0" w:type="dxa"/>
            </w:tcMar>
            <w:vAlign w:val="center"/>
          </w:tcPr>
          <w:p>
            <w:r>
              <w:rPr>
                <w:rFonts w:ascii="宋体" w:hAnsi="宋体" w:eastAsia="宋体" w:cs="宋体"/>
                <w:b/>
                <w:color w:val="000000"/>
                <w:sz w:val="21"/>
              </w:rPr>
              <w:t>6.报告期间关联交易情况</w:t>
            </w: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11"/>
            <w:tcMar>
              <w:top w:w="0" w:type="dxa"/>
              <w:left w:w="0" w:type="dxa"/>
              <w:bottom w:w="0" w:type="dxa"/>
              <w:right w:w="0" w:type="dxa"/>
            </w:tcMar>
            <w:vAlign w:val="top"/>
          </w:tcPr>
          <w:p>
            <w:r>
              <w:rPr>
                <w:rFonts w:ascii="宋体" w:hAnsi="宋体" w:eastAsia="宋体" w:cs="宋体"/>
                <w:color w:val="000000"/>
                <w:sz w:val="20"/>
              </w:rPr>
              <w:t>6.1 理财产品在报告期末投资关联方发行、承销的证券的情况</w:t>
            </w: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资产面额（元）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承销商/发行人</w:t>
                        </w: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无</w:t>
                        </w:r>
                      </w:p>
                    </w:tc>
                    <w:tc>
                      <w:p>
                        <w:pPr>
                          <w:pStyle w:val="4"/>
                        </w:pP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11"/>
            <w:tcMar>
              <w:top w:w="0" w:type="dxa"/>
              <w:left w:w="0" w:type="dxa"/>
              <w:bottom w:w="0" w:type="dxa"/>
              <w:right w:w="0" w:type="dxa"/>
            </w:tcMar>
            <w:vAlign w:val="top"/>
          </w:tcPr>
          <w:p>
            <w:r>
              <w:rPr>
                <w:rFonts w:ascii="宋体" w:hAnsi="宋体" w:eastAsia="宋体" w:cs="宋体"/>
                <w:color w:val="000000"/>
                <w:sz w:val="20"/>
              </w:rPr>
              <w:t>6.2 理财产品在报告期内其他关联交易</w:t>
            </w: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交易标的</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交易金额（万元）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交易类型</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关联方名称</w:t>
                        </w: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无</w:t>
                        </w:r>
                      </w:p>
                    </w:tc>
                    <w:tc>
                      <w:p>
                        <w:pPr>
                          <w:pStyle w:val="4"/>
                        </w:pP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11"/>
            <w:tcMar>
              <w:top w:w="0" w:type="dxa"/>
              <w:left w:w="0" w:type="dxa"/>
              <w:bottom w:w="0" w:type="dxa"/>
              <w:right w:w="0" w:type="dxa"/>
            </w:tcMar>
            <w:vAlign w:val="top"/>
          </w:tcPr>
          <w:p>
            <w:r>
              <w:rPr>
                <w:rFonts w:ascii="宋体" w:hAnsi="宋体" w:eastAsia="宋体" w:cs="宋体"/>
                <w:color w:val="000000"/>
                <w:sz w:val="20"/>
              </w:rPr>
              <w:t>6.3 理财产品在报告期内中的重大关联交易</w:t>
            </w: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资产面额（元）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交易类型</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关联方名称</w:t>
                        </w: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无</w:t>
                        </w:r>
                      </w:p>
                    </w:tc>
                    <w:tc>
                      <w:p>
                        <w:pPr>
                          <w:pStyle w:val="4"/>
                        </w:pP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88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2"/>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6/</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6" w:name="JR_PAGE_ANCHOR_0_7"/>
            <w:bookmarkEnd w:id="6"/>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兴银理财稳利丰收封闭式37号固收类理财产品2024年第一季度报告</w:t>
            </w: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17"/>
            <w:tcMar>
              <w:top w:w="0" w:type="dxa"/>
              <w:left w:w="0" w:type="dxa"/>
              <w:bottom w:w="0" w:type="dxa"/>
              <w:right w:w="0" w:type="dxa"/>
            </w:tcMar>
            <w:vAlign w:val="center"/>
          </w:tcPr>
          <w:p>
            <w:pPr>
              <w:jc w:val="left"/>
            </w:pPr>
            <w:r>
              <w:rPr>
                <w:rFonts w:ascii="宋体" w:hAnsi="宋体" w:eastAsia="宋体" w:cs="宋体"/>
                <w:b/>
                <w:color w:val="000000"/>
                <w:sz w:val="21"/>
              </w:rPr>
              <w:t>7.投资账户信息</w:t>
            </w:r>
          </w:p>
        </w:tc>
        <w:tc>
          <w:p>
            <w:pPr>
              <w:pStyle w:val="4"/>
            </w:pPr>
          </w:p>
        </w:tc>
      </w:tr>
      <w:tr>
        <w:tblPrEx>
          <w:tblCellMar>
            <w:top w:w="0" w:type="dxa"/>
            <w:left w:w="10" w:type="dxa"/>
            <w:bottom w:w="0" w:type="dxa"/>
            <w:right w:w="10" w:type="dxa"/>
          </w:tblCellMar>
        </w:tblPrEx>
        <w:trPr>
          <w:trHeight w:val="1200" w:hRule="exact"/>
        </w:trPr>
        <w:tc>
          <w:p>
            <w:pPr>
              <w:pStyle w:val="4"/>
            </w:pPr>
          </w:p>
        </w:tc>
        <w:tc>
          <w:tcPr>
            <w:gridSpan w:val="2"/>
          </w:tcPr>
          <w:p>
            <w:pPr>
              <w:pStyle w:val="4"/>
            </w:pPr>
          </w:p>
        </w:tc>
        <w:tc>
          <w:tcPr>
            <w:gridSpan w:val="17"/>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账户类型</w:t>
                        </w:r>
                      </w:p>
                    </w:tc>
                  </w:tr>
                </w:tbl>
                <w:p>
                  <w:pPr>
                    <w:pStyle w:val="4"/>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账户编号</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账户名称</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托管账户</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051010100101645908</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兴银理财稳利丰收封闭式37号固收类理财产品</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96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5"/>
            <w:tcMar>
              <w:top w:w="0" w:type="dxa"/>
              <w:left w:w="0" w:type="dxa"/>
              <w:bottom w:w="0" w:type="dxa"/>
              <w:right w:w="0" w:type="dxa"/>
            </w:tcMar>
            <w:vAlign w:val="center"/>
          </w:tcPr>
          <w:p>
            <w:pPr>
              <w:jc w:val="right"/>
            </w:pPr>
            <w:r>
              <w:rPr>
                <w:rFonts w:ascii="宋体" w:hAnsi="宋体" w:eastAsia="宋体" w:cs="宋体"/>
                <w:color w:val="000000"/>
                <w:sz w:val="21"/>
              </w:rPr>
              <w:t>兴银理财有限责任公司</w:t>
            </w: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5"/>
            <w:tcMar>
              <w:top w:w="0" w:type="dxa"/>
              <w:left w:w="0" w:type="dxa"/>
              <w:bottom w:w="0" w:type="dxa"/>
              <w:right w:w="0" w:type="dxa"/>
            </w:tcMar>
            <w:vAlign w:val="top"/>
          </w:tcPr>
          <w:p>
            <w:pPr>
              <w:jc w:val="right"/>
            </w:pPr>
            <w:r>
              <w:rPr>
                <w:rFonts w:ascii="宋体" w:hAnsi="宋体" w:eastAsia="宋体" w:cs="宋体"/>
                <w:color w:val="000000"/>
                <w:sz w:val="21"/>
              </w:rPr>
              <w:t>2024年4月22日</w:t>
            </w:r>
          </w:p>
        </w:tc>
        <w:tc>
          <w:tcPr>
            <w:gridSpan w:val="4"/>
          </w:tcPr>
          <w:p>
            <w:pPr>
              <w:pStyle w:val="4"/>
            </w:pPr>
          </w:p>
        </w:tc>
        <w:tc>
          <w:p>
            <w:pPr>
              <w:pStyle w:val="4"/>
            </w:pPr>
          </w:p>
        </w:tc>
      </w:tr>
      <w:tr>
        <w:tblPrEx>
          <w:tblCellMar>
            <w:top w:w="0" w:type="dxa"/>
            <w:left w:w="10" w:type="dxa"/>
            <w:bottom w:w="0" w:type="dxa"/>
            <w:right w:w="10" w:type="dxa"/>
          </w:tblCellMar>
        </w:tblPrEx>
        <w:trPr>
          <w:trHeight w:val="967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4"/>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7/</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tcPr>
            <w:gridSpan w:val="4"/>
          </w:tcPr>
          <w:p>
            <w:pPr>
              <w:pStyle w:val="4"/>
            </w:pPr>
          </w:p>
        </w:tc>
        <w:tc>
          <w:tcPr>
            <w:gridSpan w:val="4"/>
          </w:tcPr>
          <w:p>
            <w:pPr>
              <w:pStyle w:val="4"/>
            </w:pPr>
          </w:p>
        </w:tc>
        <w:tc>
          <w:p>
            <w:pPr>
              <w:pStyle w:val="4"/>
            </w:pPr>
          </w:p>
        </w:tc>
      </w:tr>
    </w:tbl>
    <w:p/>
    <w:sectPr>
      <w:pgSz w:w="11900" w:h="16840"/>
      <w:pgMar w:top="600" w:right="560" w:bottom="240" w:left="600" w:header="0" w:footer="0" w:gutter="0"/>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cumentProtection w:enforcement="0"/>
  <w:defaultTabStop w:val="800"/>
  <w:compat>
    <w:useFELayout/>
    <w:splitPgBreakAndParaMark/>
    <w:compatSetting w:name="compatibilityMode" w:uri="http://schemas.microsoft.com/office/word" w:val="12"/>
  </w:compat>
  <w:rsids>
    <w:rsidRoot w:val="00000000"/>
    <w:rsid w:val="1BD8569C"/>
    <w:rsid w:val="5F746478"/>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_CD"/>
    <w:qFormat/>
    <w:uiPriority w:val="0"/>
    <w:pPr>
      <w:spacing w:line="240" w:lineRule="auto"/>
    </w:pPr>
    <w:rPr>
      <w:rFonts w:ascii="SansSerif" w:hAnsi="SansSerif" w:eastAsia="SansSerif" w:cs="SansSerif"/>
      <w:color w:val="000000"/>
      <w:sz w:val="20"/>
      <w:szCs w:val="22"/>
    </w:rPr>
  </w:style>
  <w:style w:type="paragraph" w:customStyle="1" w:styleId="9">
    <w:name w:val="Table 1_TH"/>
    <w:qFormat/>
    <w:uiPriority w:val="0"/>
    <w:pPr>
      <w:spacing w:line="240" w:lineRule="auto"/>
    </w:pPr>
    <w:rPr>
      <w:rFonts w:ascii="SansSerif" w:hAnsi="SansSerif" w:eastAsia="SansSerif" w:cs="SansSerif"/>
      <w:color w:val="000000"/>
      <w:sz w:val="20"/>
      <w:szCs w:val="22"/>
    </w:rPr>
  </w:style>
  <w:style w:type="paragraph" w:customStyle="1" w:styleId="10">
    <w:name w:val="Table 1_CH"/>
    <w:qFormat/>
    <w:uiPriority w:val="0"/>
    <w:pPr>
      <w:spacing w:line="240" w:lineRule="auto"/>
    </w:pPr>
    <w:rPr>
      <w:rFonts w:ascii="SansSerif" w:hAnsi="SansSerif" w:eastAsia="SansSerif" w:cs="SansSerif"/>
      <w:color w:val="000000"/>
      <w:sz w:val="20"/>
      <w:szCs w:val="22"/>
    </w:rPr>
  </w:style>
  <w:style w:type="paragraph" w:customStyle="1" w:styleId="11">
    <w:name w:val="Table 1_T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6</TotalTime>
  <ScaleCrop>false</ScaleCrop>
  <LinksUpToDate>false</LinksUpToDate>
  <Application>WPS Office_11.8.2.8959_F1E327BC-269C-435d-A152-05C5408002CA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2024-04-19T06:46:00Z</dcterms:created>
  <dc:creator>wot_hufangting_zy</dc:creator>
  <cp:lastModifiedBy>wot_hufangting_zy</cp:lastModifiedBy>
  <dcterms:modified xsi:type="dcterms:W3CDTF">2024-04-19T07:15:53Z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2052-11.8.2.8959</vt:lpwstr>
  </property>
</Properties>
</file>