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59"/>
        <w:gridCol w:w="1"/>
        <w:gridCol w:w="59"/>
        <w:gridCol w:w="1"/>
        <w:gridCol w:w="139"/>
        <w:gridCol w:w="1"/>
      </w:tblGrid>
      <w:tr>
        <w:tblPrEx>
          <w:tblCellMar>
            <w:top w:w="0" w:type="dxa"/>
            <w:left w:w="10" w:type="dxa"/>
            <w:bottom w:w="0" w:type="dxa"/>
            <w:right w:w="10" w:type="dxa"/>
          </w:tblCellMar>
        </w:tblPrEx>
        <w:trPr>
          <w:gridAfter w:val="10"/>
          <w:trHeight w:val="0" w:hRule="atLeast"/>
        </w:trPr>
        <w:tc>
          <w:p>
            <w:pPr>
              <w:pStyle w:val="4"/>
            </w:pPr>
            <w:bookmarkStart w:id="13" w:name="_GoBack"/>
            <w:bookmarkEnd w:id="13"/>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兴银理财添利9号净值型理财产品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10"/>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r>
              <w:rPr>
                <w:rFonts w:ascii="宋体" w:hAnsi="宋体" w:eastAsia="宋体" w:cs="宋体"/>
                <w:color w:val="000000"/>
                <w:sz w:val="21"/>
              </w:rPr>
              <w:br w:type="textWrapping"/>
            </w:r>
            <w:r>
              <w:rPr>
                <w:rFonts w:ascii="宋体" w:hAnsi="宋体" w:eastAsia="宋体" w:cs="宋体"/>
                <w:color w:val="000000"/>
                <w:sz w:val="21"/>
              </w:rPr>
              <w:t xml:space="preserve">     8.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10"/>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兴银理财添利9号净值型理财产品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9B310005</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Z7002020000173</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85,938,092,691.35份</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10"/>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兴银添利宝（中信专属）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8,253,070,501.74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添利天天赢</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7,698,365,181.58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20,964,374,449.41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14,935,244,924.18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303"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72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2,273,488,757.82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兴银添利宝F-浦发专属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9B310065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3,211,937,293.39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兴银添利宝G</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9B310075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5,268,374,712.06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兴银添利9号H</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9B310085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12,440,160,939.73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兴银添利宝I</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8,111,963,265.97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兴银添利宝J</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9B310105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533,387,765.90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兴银添利宝K</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204,231,775.02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兴银添利宝M</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1,759,641,849.92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兴银添利宝N</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75,107,845.59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兴银添利宝O</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206,313,629.13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添利9号T</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9B3101T5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2,429,799.91</w:t>
                        </w:r>
                      </w:p>
                    </w:tc>
                  </w:tr>
                </w:tbl>
                <w:p>
                  <w:pPr>
                    <w:pStyle w:val="4"/>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8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900" w:hRule="atLeast"/>
        </w:trPr>
        <w:tc>
          <w:p>
            <w:pPr>
              <w:pStyle w:val="4"/>
            </w:pPr>
          </w:p>
        </w:tc>
        <w:tc>
          <w:tcPr>
            <w:gridSpan w:val="14"/>
            <w:tcMar>
              <w:top w:w="0" w:type="dxa"/>
              <w:left w:w="0" w:type="dxa"/>
              <w:bottom w:w="0" w:type="dxa"/>
              <w:right w:w="0" w:type="dxa"/>
            </w:tcMar>
            <w:vAlign w:val="center"/>
          </w:tcPr>
          <w:p>
            <w:pPr>
              <w:spacing w:before="0" w:after="0" w:line="320" w:lineRule="exact"/>
              <w:ind w:firstLine="0"/>
            </w:pPr>
            <w:r>
              <w:rPr>
                <w:rFonts w:ascii="宋体" w:hAnsi="宋体" w:eastAsia="宋体" w:cs="宋体"/>
                <w:color w:val="000000"/>
                <w:sz w:val="21"/>
              </w:rPr>
              <w:t xml:space="preserve">    报告期内，9B310015七日年化收益率均值2.4015%，9B310025七日年化收益率均值2.1958%，9B310035七日年化收益率均值2.3124%，9B310045七日年化收益率均值2.0938%，9B310055七日年化收益率均值2.2985%，9B310065七日年化收益率均值2.2989%，9B310075七日年化收益率均值2.2588%，9B310085七日年化收益率均值2.3486%，9B310095七日年化收益率均值2.1959%，9B310105七日年化收益率均值2.4525%，9B310115七日年化收益率均值2.2980%，9B310125七日年化收益率均值2.2975%，9B310135七日年化收益率均值2.4012%，9B310145七日年化收益率均值2.0908%，9B3101T5七日年化收益率均值2.4536%。同期业绩比较基准¹如下：</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6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AFAFA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适用期间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业绩比较基准</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1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2024-01-01至2024-03-31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0"/>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2"/>
            <w:tcMar>
              <w:top w:w="0" w:type="dxa"/>
              <w:left w:w="0" w:type="dxa"/>
              <w:bottom w:w="0" w:type="dxa"/>
              <w:right w:w="0" w:type="dxa"/>
            </w:tcMar>
            <w:vAlign w:val="center"/>
          </w:tcPr>
          <w:p>
            <w:r>
              <w:rPr>
                <w:rFonts w:ascii="宋体" w:hAnsi="宋体" w:eastAsia="宋体" w:cs="宋体"/>
                <w:color w:val="000000"/>
                <w:sz w:val="21"/>
              </w:rPr>
              <w:t>报告期末，产品收益具体如下：</w:t>
            </w: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85,938,092,691.35</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8,253,070,501.74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7,698,365,181.58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20,964,374,449.41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0.5774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14,935,244,924.18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2,273,488,757.82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3,211,937,293.39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5,268,374,712.06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0.6459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12,440,160,939.73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8,111,963,265.97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533,387,765.90</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204,231,775.02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1,759,641,849.92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75,107,845.59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0.5774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206,313,629.13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2,429,799.91</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56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资产管理部流动性管理，管理总规模逾万亿，擅长大资金的资产配置和流动性管理；2019年转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8"/>
          <w:trHeight w:val="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一季度延续年末债券牛市行情，市场围绕“资产欠配荒”、基本面预期、政策面变化、结构性货币政策工具加码和降准降息预期、资金面均衡宽松，推动债市利率持续下行创新低，期限利差收缩。1-2月债市收益率下行较为顺畅，3月经历两轮较大幅度回调，一季度利率曲线总体向下平移，两端表现更优。信用方面，一季度信用债收益率整体压缩，1月、2月收益率持续震荡下行，3月触底后低位窄幅波动，短端下沉空间变狭窄后市场向久期要收益，等级、期限差异在收益率上分化都显著收敛；信用利差来看，除短久期利差小幅走阔外其余全线收窄；产业债估值继续压缩，市场情绪高涨。</w:t>
            </w:r>
            <w:r>
              <w:rPr>
                <w:rFonts w:ascii="宋体" w:hAnsi="宋体" w:eastAsia="宋体" w:cs="宋体"/>
                <w:color w:val="000000"/>
                <w:sz w:val="21"/>
              </w:rPr>
              <w:br w:type="textWrapping"/>
            </w:r>
            <w:r>
              <w:rPr>
                <w:rFonts w:ascii="宋体" w:hAnsi="宋体" w:eastAsia="宋体" w:cs="宋体"/>
                <w:color w:val="000000"/>
                <w:sz w:val="21"/>
              </w:rPr>
              <w:t xml:space="preserve">    展望二季度，制造业和基建投资有望保持韧性，内需动力修复仍需时间，通胀或保持温和。货币政策预期维持均衡宽松，二季度降准预期仍在，在资金防空转的基调下，资金面大幅走松不易，半年末资金面可能出现显著波动。目前银行净息差处于历史新低，存款利率或进一步下调，资产荒格局将延续，预期二季度政府债净供给较大，可能对市场产生扰动，需密切关注房地产政策、利率债发行节奏及货币和财政政策等，积极把握市场机会。</w:t>
            </w:r>
            <w:r>
              <w:rPr>
                <w:rFonts w:ascii="宋体" w:hAnsi="宋体" w:eastAsia="宋体" w:cs="宋体"/>
                <w:color w:val="000000"/>
                <w:sz w:val="21"/>
              </w:rPr>
              <w:br w:type="textWrapping"/>
            </w:r>
            <w:r>
              <w:rPr>
                <w:rFonts w:ascii="宋体" w:hAnsi="宋体" w:eastAsia="宋体" w:cs="宋体"/>
                <w:color w:val="000000"/>
                <w:sz w:val="21"/>
              </w:rPr>
              <w:t>二 前期运作回顾</w:t>
            </w:r>
            <w:r>
              <w:rPr>
                <w:rFonts w:ascii="宋体" w:hAnsi="宋体" w:eastAsia="宋体" w:cs="宋体"/>
                <w:color w:val="000000"/>
                <w:sz w:val="21"/>
              </w:rPr>
              <w:br w:type="textWrapping"/>
            </w:r>
            <w:r>
              <w:rPr>
                <w:rFonts w:ascii="宋体" w:hAnsi="宋体" w:eastAsia="宋体" w:cs="宋体"/>
                <w:color w:val="000000"/>
                <w:sz w:val="21"/>
              </w:rPr>
              <w:t xml:space="preserve">    本产品始终将保持流动性安全和防范信用风险作为第一要务，在此基础上通过稳健的投资风格实现相对稳定的收益。报告期内，产品规模小幅赎回。资产配置上，我们根据市场情况适时调整投资策略和资产构建节奏，信用债等票息资产稳步建仓、NCD逢高建仓，在保证组合流动性安全的前提下积极把握市场调整的买入机会，尤其是季度末、税期等关键时间节点。流动性管理上，合理利用正逆回购工具，提前安排跨季资金、全力保障流动性安全。</w:t>
            </w:r>
            <w:r>
              <w:rPr>
                <w:rFonts w:ascii="宋体" w:hAnsi="宋体" w:eastAsia="宋体" w:cs="宋体"/>
                <w:color w:val="000000"/>
                <w:sz w:val="21"/>
              </w:rPr>
              <w:br w:type="textWrapping"/>
            </w:r>
            <w:r>
              <w:rPr>
                <w:rFonts w:ascii="宋体" w:hAnsi="宋体" w:eastAsia="宋体" w:cs="宋体"/>
                <w:color w:val="000000"/>
                <w:sz w:val="21"/>
              </w:rPr>
              <w:t>三 后期投资策略</w:t>
            </w:r>
            <w:r>
              <w:rPr>
                <w:rFonts w:ascii="宋体" w:hAnsi="宋体" w:eastAsia="宋体" w:cs="宋体"/>
                <w:color w:val="000000"/>
                <w:sz w:val="21"/>
              </w:rPr>
              <w:br w:type="textWrapping"/>
            </w:r>
            <w:r>
              <w:rPr>
                <w:rFonts w:ascii="宋体" w:hAnsi="宋体" w:eastAsia="宋体" w:cs="宋体"/>
                <w:color w:val="000000"/>
                <w:sz w:val="21"/>
              </w:rPr>
              <w:t xml:space="preserve">    下阶段，本产品依然会按照《关于规范现金管理类理财产品管理有关事项的通知》的相关要求，坚持以安全性和流动性优先、兼顾收益性的稳健策略，结合宏观基本面、资金面，持续动态监控产品投资组合，保障产品合规、平稳地运作。</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24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6"/>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工商银行活期存款（昆明）</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3,754,886,341.35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兴业银行活期存款（北京）</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1,260,252,000.00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23CSFD128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1,024,293,967.56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1,023,944,827.01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1,018,299,178.08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3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Z存放同业（线上）20231106013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1,010,616,666.34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Z存放同业（线上）20231129004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1,009,368,889.44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Z存放同业（线上）20231207002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1,008,957,777.52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Z存放同业（线上）20231204007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1,008,925,000.00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Z存放同业（线上）20231213019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1,008,708,333.70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7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19正泰MTN001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19赣投MTN001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21金地MTN005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19大连港MTN001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19陕有色MTN003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21中节能MTN002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21北部湾MTN005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21大悦城MTN002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21新静安MTN001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21杭金投MTN002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21浙国贸MTN002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21苏沙钢MTN002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21鲁能源MTN007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19福州城投MTN001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19紫金矿业MTN003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19连云城建MTN001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21东南国资MTN001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21中银投资MTN001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21徐州矿务MTN001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21武汉城建MTN002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21福建石化MTN001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21通商租赁MTN002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21龙城发展MTN001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22中储发展MTN001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22晋能装备MTN009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22韵达股份MTN001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21华润控股MTN002A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22龙盛MTN001(科创票据)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21湘高速MTN006(革命老区)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21鲁高速MTN006(革命老区)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21徐州兴铜PPN001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21江北新区PPN004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22盐城资产PPN001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9" w:name="JR_PAGE_ANCHOR_0_10"/>
            <w:bookmarkEnd w:id="9"/>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23吴江城投PPN006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23豫航空港PPN010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16青建投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23中拓SCP010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23瀚蓝SCP005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23象屿SCP009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23金隅SCP004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23乌高新SCP003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23湘高速SCP006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23知识城SCP007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23闽漳龙SCP004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23中原资产SCP005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23乐山国资SCP004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23厦门资管SCP001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23威海产投SCP002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23泰山财金SCP004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23海尔金盈SCP006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23青岛海控SCP003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23青岛西海SCP003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24广西旅发SCP001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24泉州发展SCP001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23龙盛SCP014(科创票据)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23云投CP004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0" w:name="JR_PAGE_ANCHOR_0_11"/>
            <w:bookmarkEnd w:id="10"/>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4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23红狮CP001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24云投CP001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23云能投CP009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23宁河西CP002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23湘高速CP002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23一汽租赁CP005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23中兴国资CP001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23四川路桥CP001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23武清国资CP002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23海发集团CP001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23温江兴蓉CP002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23芯鑫租赁CP001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23荆州城发CP001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23越秀资本CP001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23镇江交通CP005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23青岛华通CP002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23青岛黄岛CP002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23九江银行CD177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23九江银行CD210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23九江银行CD228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23厦门国际银行CD118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23厦门国际银行CD125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23厦门国际银行CD127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23宝冶1号ABN001优先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1" w:name="JR_PAGE_ANCHOR_0_12"/>
            <w:bookmarkEnd w:id="11"/>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7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24京能1号ABN001优先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23优生活五ABN002优先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23前海南山ABN003优先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23春风一方ABN002优先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23山西建投4ABN001优先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23徐工机械ABN003优先A1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96,296,200.00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23声赫保理ABN002(科创票据)优先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23中交一航1ABN002优先(科创票据)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19发展01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19鲁高02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22兴杭01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24京能2号ABN001优先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70,710,000.00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10"/>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债券质押式回购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188.1285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5,192.4508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11.0351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914.8496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16.7240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10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12" w:name="JR_PAGE_ANCHOR_0_13"/>
            <w:bookmarkEnd w:id="12"/>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兴银理财添利9号净值型理财产品2024年第一季度报告</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tcPr>
            <w:gridSpan w:val="6"/>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051010100101101745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b/>
                <w:color w:val="000000"/>
                <w:sz w:val="21"/>
              </w:rPr>
              <w:t>8.影响理财份额投资人决策的其他重要信息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color w:val="000000"/>
                <w:sz w:val="20"/>
              </w:rPr>
              <w:t xml:space="preserve"> 8.1报告期内单一投资者持有产品份额达到或者超过该产品总份额20%的情形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909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13</w:t>
            </w:r>
          </w:p>
        </w:tc>
        <w:tc>
          <w:tcPr>
            <w:gridSpan w:val="3"/>
          </w:tcPr>
          <w:p>
            <w:pPr>
              <w:pStyle w:val="4"/>
            </w:pPr>
          </w:p>
        </w:tc>
        <w:tc>
          <w:tcPr>
            <w:gridSpan w:val="4"/>
          </w:tcPr>
          <w:p>
            <w:pPr>
              <w:pStyle w:val="4"/>
            </w:pPr>
          </w:p>
        </w:tc>
        <w:tc>
          <w:tcPr>
            <w:gridSpan w:val="6"/>
          </w:tcPr>
          <w:p>
            <w:pPr>
              <w:pStyle w:val="4"/>
            </w:pPr>
          </w:p>
        </w:tc>
        <w:tc>
          <w:p>
            <w:pPr>
              <w:pStyle w:val="4"/>
            </w:pPr>
          </w:p>
        </w:tc>
      </w:tr>
    </w:tbl>
    <w:p/>
    <w:sectPr>
      <w:pgSz w:w="11900" w:h="16840"/>
      <w:pgMar w:top="600" w:right="3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5F6476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 2_TH"/>
    <w:qFormat/>
    <w:uiPriority w:val="0"/>
    <w:pPr>
      <w:spacing w:line="240" w:lineRule="auto"/>
    </w:pPr>
    <w:rPr>
      <w:rFonts w:ascii="SansSerif" w:hAnsi="SansSerif" w:eastAsia="SansSerif" w:cs="SansSerif"/>
      <w:color w:val="000000"/>
      <w:sz w:val="20"/>
      <w:szCs w:val="22"/>
    </w:rPr>
  </w:style>
  <w:style w:type="paragraph" w:customStyle="1" w:styleId="12">
    <w:name w:val="Table 2_CH"/>
    <w:qFormat/>
    <w:uiPriority w:val="0"/>
    <w:pPr>
      <w:spacing w:line="240" w:lineRule="auto"/>
    </w:pPr>
    <w:rPr>
      <w:rFonts w:ascii="SansSerif" w:hAnsi="SansSerif" w:eastAsia="SansSerif" w:cs="SansSerif"/>
      <w:color w:val="000000"/>
      <w:sz w:val="20"/>
      <w:szCs w:val="22"/>
    </w:rPr>
  </w:style>
  <w:style w:type="paragraph" w:customStyle="1" w:styleId="13">
    <w:name w:val="Table 2_TD"/>
    <w:qFormat/>
    <w:uiPriority w:val="0"/>
    <w:pPr>
      <w:spacing w:line="240" w:lineRule="auto"/>
    </w:pPr>
    <w:rPr>
      <w:rFonts w:ascii="SansSerif" w:hAnsi="SansSerif" w:eastAsia="SansSerif" w:cs="SansSerif"/>
      <w:color w:val="000000"/>
      <w:sz w:val="20"/>
      <w:szCs w:val="22"/>
    </w:rPr>
  </w:style>
  <w:style w:type="paragraph" w:customStyle="1" w:styleId="14">
    <w:name w:val="Table_C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2024-04-19T08:29:09Z</dcterms:created>
  <dc:creator>hansonghua</dc:creator>
  <cp:lastModifiedBy>hansonghua</cp:lastModifiedBy>
  <dcterms:modified xsi:type="dcterms:W3CDTF">2024-04-19T08:29:55Z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