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5465B6" w:rsidRDefault="005465B6">
      <w:pPr>
        <w:rPr>
          <w:sz w:val="48"/>
        </w:rPr>
      </w:pPr>
    </w:p>
    <w:p w:rsidR="005465B6" w:rsidRDefault="005465B6">
      <w:pPr>
        <w:rPr>
          <w:sz w:val="48"/>
        </w:rPr>
      </w:pPr>
    </w:p>
    <w:p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海盐农商银行丰收信福2022年第1期封闭式净值型理财产品</w:t>
      </w:r>
    </w:p>
    <w:p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2023年第1季度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2023-01-01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2023-03-31</w:t>
      </w:r>
      <w:r>
        <w:rPr>
          <w:rFonts w:ascii="宋体" w:hAnsi="宋体"/>
          <w:szCs w:val="21"/>
        </w:rPr>
        <w:t>止。</w:t>
      </w:r>
    </w:p>
    <w:p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:rsidTr="00C34D32">
        <w:trPr>
          <w:trHeight w:val="304"/>
        </w:trPr>
        <w:tc>
          <w:tcPr>
            <w:tcW w:w="3838" w:type="dxa"/>
            <w:vAlign w:val="center"/>
          </w:tcPr>
          <w:p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海盐农商银行丰收信福2022年第1期封闭式净值型理财产品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C3209522000005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公募封闭式净值型银行理财 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2022-01-13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2024-01-17</w:t>
            </w:r>
          </w:p>
        </w:tc>
      </w:tr>
      <w:tr w:rsidR="004E5C17" w:rsidTr="00AD6DD4">
        <w:trPr>
          <w:trHeight w:val="321"/>
        </w:trPr>
        <w:tc>
          <w:tcPr>
            <w:tcW w:w="3838" w:type="dxa"/>
            <w:vAlign w:val="center"/>
          </w:tcPr>
          <w:p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2,490,000.00</w:t>
            </w:r>
            <w:bookmarkEnd w:id="0"/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4.4%/年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:rsidTr="006876F4">
        <w:trPr>
          <w:trHeight w:val="556"/>
        </w:trPr>
        <w:tc>
          <w:tcPr>
            <w:tcW w:w="3853" w:type="dxa"/>
            <w:vAlign w:val="center"/>
          </w:tcPr>
          <w:p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2023-01-01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2023-03-31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0811DB" w:rsidRPr="00A2617B" w:rsidRDefault="00037456" w:rsidP="00D31FD3">
            <w:pPr>
              <w:jc w:val="right"/>
            </w:pPr>
            <w:r w:rsidRPr="00A2617B">
              <w:t>2.63</w:t>
            </w:r>
          </w:p>
        </w:tc>
      </w:tr>
      <w:tr w:rsidR="006876F4" w:rsidTr="006876F4">
        <w:trPr>
          <w:trHeight w:val="556"/>
        </w:trPr>
        <w:tc>
          <w:tcPr>
            <w:tcW w:w="3853" w:type="dxa"/>
            <w:vAlign w:val="center"/>
          </w:tcPr>
          <w:p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</w:t>
            </w:r>
            <w:proofErr w:type="gramStart"/>
            <w:r>
              <w:rPr>
                <w:rFonts w:ascii="宋体" w:hAnsi="宋体" w:hint="eastAsia"/>
              </w:rPr>
              <w:t>日</w:t>
            </w:r>
            <w:r w:rsidRPr="00583550">
              <w:rPr>
                <w:rFonts w:ascii="宋体" w:hAnsi="宋体" w:hint="eastAsia"/>
              </w:rPr>
              <w:t>至今</w:t>
            </w:r>
            <w:proofErr w:type="gramEnd"/>
          </w:p>
        </w:tc>
        <w:tc>
          <w:tcPr>
            <w:tcW w:w="5103" w:type="dxa"/>
            <w:vAlign w:val="center"/>
          </w:tcPr>
          <w:p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6.90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2023-01-01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2023-03-31</w:t>
            </w:r>
          </w:p>
        </w:tc>
      </w:tr>
      <w:tr w:rsidR="00644275">
        <w:trPr>
          <w:trHeight w:val="304"/>
        </w:trPr>
        <w:tc>
          <w:tcPr>
            <w:tcW w:w="3838" w:type="dxa"/>
            <w:vAlign w:val="center"/>
          </w:tcPr>
          <w:p w:rsidR="0064427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644275" w:rsidRDefault="00000000">
            <w:pPr>
              <w:jc w:val="right"/>
            </w:pPr>
            <w:r>
              <w:t>-96.95</w:t>
            </w:r>
          </w:p>
        </w:tc>
      </w:tr>
      <w:tr w:rsidR="00644275">
        <w:trPr>
          <w:trHeight w:val="304"/>
        </w:trPr>
        <w:tc>
          <w:tcPr>
            <w:tcW w:w="3838" w:type="dxa"/>
            <w:vAlign w:val="center"/>
          </w:tcPr>
          <w:p w:rsidR="0064427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644275" w:rsidRDefault="00000000">
            <w:pPr>
              <w:jc w:val="right"/>
            </w:pPr>
            <w:r>
              <w:t>68,040.21</w:t>
            </w:r>
          </w:p>
        </w:tc>
      </w:tr>
      <w:tr w:rsidR="00644275">
        <w:trPr>
          <w:trHeight w:val="304"/>
        </w:trPr>
        <w:tc>
          <w:tcPr>
            <w:tcW w:w="3838" w:type="dxa"/>
            <w:vAlign w:val="center"/>
          </w:tcPr>
          <w:p w:rsidR="0064427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644275" w:rsidRDefault="00000000">
            <w:pPr>
              <w:jc w:val="right"/>
            </w:pPr>
            <w:r>
              <w:t>2,661,853.07</w:t>
            </w:r>
          </w:p>
        </w:tc>
      </w:tr>
      <w:tr w:rsidR="00664F5A">
        <w:trPr>
          <w:trHeight w:val="304"/>
        </w:trPr>
        <w:tc>
          <w:tcPr>
            <w:tcW w:w="3838" w:type="dxa"/>
            <w:vAlign w:val="center"/>
          </w:tcPr>
          <w:p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664F5A" w:rsidRPr="00BD70E0" w:rsidRDefault="00664F5A" w:rsidP="00664F5A">
            <w:pPr>
              <w:jc w:val="right"/>
            </w:pPr>
            <w:r w:rsidRPr="00BD70E0">
              <w:t>1.069</w:t>
            </w:r>
          </w:p>
        </w:tc>
      </w:tr>
    </w:tbl>
    <w:p w:rsidR="00664F5A" w:rsidRDefault="00664F5A" w:rsidP="00664F5A">
      <w:pPr>
        <w:tabs>
          <w:tab w:val="left" w:pos="3135"/>
        </w:tabs>
        <w:ind w:leftChars="200" w:left="420"/>
      </w:pPr>
    </w:p>
    <w:p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:rsidR="004C689C" w:rsidRDefault="004C689C" w:rsidP="003D4200">
      <w:pPr>
        <w:jc w:val="right"/>
      </w:pPr>
    </w:p>
    <w:p w:rsidR="004C689C" w:rsidRDefault="004C689C" w:rsidP="003D4200">
      <w:pPr>
        <w:jc w:val="right"/>
      </w:pPr>
    </w:p>
    <w:p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24,721.81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0.93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3,051,762.67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114.63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2,952,232.28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110.89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99,530.39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3.74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0.45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13,462.65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0.51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2,662,322.93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66.42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2,662,323.38</w:t>
            </w:r>
          </w:p>
        </w:tc>
        <w:tc>
          <w:tcPr>
            <w:tcW w:w="1749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:rsidR="00E71726" w:rsidRPr="00BD70E0" w:rsidRDefault="00E71726" w:rsidP="00E71726">
            <w:pPr>
              <w:jc w:val="right"/>
            </w:pPr>
            <w:r w:rsidRPr="00BD70E0">
              <w:t>3,090,013.55</w:t>
            </w:r>
          </w:p>
        </w:tc>
        <w:tc>
          <w:tcPr>
            <w:tcW w:w="1705" w:type="dxa"/>
          </w:tcPr>
          <w:p w:rsidR="00E71726" w:rsidRPr="00BD70E0" w:rsidRDefault="00E71726" w:rsidP="00E71726">
            <w:pPr>
              <w:jc w:val="right"/>
            </w:pPr>
            <w:r w:rsidRPr="00BD70E0">
              <w:t>116.06</w:t>
            </w:r>
          </w:p>
        </w:tc>
      </w:tr>
    </w:tbl>
    <w:p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:rsidR="005F7FB9" w:rsidRPr="00E76316" w:rsidRDefault="00CF7C5F" w:rsidP="005F7FB9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="宋体" w:hAnsi="宋体" w:hint="eastAsia"/>
          <w:sz w:val="24"/>
        </w:rPr>
        <w:t xml:space="preserve">   </w:t>
      </w:r>
      <w:r w:rsidR="005F7FB9" w:rsidRPr="00E76316">
        <w:rPr>
          <w:rFonts w:asciiTheme="minorEastAsia" w:eastAsiaTheme="minorEastAsia" w:hAnsiTheme="minorEastAsia" w:hint="eastAsia"/>
          <w:szCs w:val="21"/>
        </w:rPr>
        <w:t>本产品属于封闭式</w:t>
      </w:r>
      <w:proofErr w:type="gramStart"/>
      <w:r w:rsidR="005F7FB9" w:rsidRPr="00E76316">
        <w:rPr>
          <w:rFonts w:asciiTheme="minorEastAsia" w:eastAsiaTheme="minorEastAsia" w:hAnsiTheme="minorEastAsia" w:hint="eastAsia"/>
          <w:szCs w:val="21"/>
        </w:rPr>
        <w:t>固收类，无期间</w:t>
      </w:r>
      <w:proofErr w:type="gramEnd"/>
      <w:r w:rsidR="005F7FB9" w:rsidRPr="00E76316">
        <w:rPr>
          <w:rFonts w:asciiTheme="minorEastAsia" w:eastAsiaTheme="minorEastAsia" w:hAnsiTheme="minorEastAsia" w:hint="eastAsia"/>
          <w:szCs w:val="21"/>
        </w:rPr>
        <w:t>申购赎回条款，主要通过大类资产配置思路，</w:t>
      </w:r>
      <w:proofErr w:type="gramStart"/>
      <w:r w:rsidR="005F7FB9" w:rsidRPr="00E76316">
        <w:rPr>
          <w:rFonts w:asciiTheme="minorEastAsia" w:eastAsiaTheme="minorEastAsia" w:hAnsiTheme="minorEastAsia" w:hint="eastAsia"/>
          <w:szCs w:val="21"/>
        </w:rPr>
        <w:t>采取固收策略</w:t>
      </w:r>
      <w:proofErr w:type="gramEnd"/>
      <w:r w:rsidR="005F7FB9" w:rsidRPr="00E76316">
        <w:rPr>
          <w:rFonts w:asciiTheme="minorEastAsia" w:eastAsiaTheme="minorEastAsia" w:hAnsiTheme="minorEastAsia" w:hint="eastAsia"/>
          <w:szCs w:val="21"/>
        </w:rPr>
        <w:t xml:space="preserve">，将投资主要分布于较高信用、流动性较好的货币类工具及风险适度的债券上，在尽量保证价值、价格低波动的前提下，增厚产品的风险收益。 </w:t>
      </w:r>
    </w:p>
    <w:p w:rsidR="004C689C" w:rsidRPr="005F7FB9" w:rsidRDefault="005F7FB9" w:rsidP="005F7FB9">
      <w:pPr>
        <w:jc w:val="left"/>
        <w:rPr>
          <w:rFonts w:asciiTheme="minorEastAsia" w:eastAsiaTheme="minorEastAsia" w:hAnsiTheme="minorEastAsia" w:hint="eastAsia"/>
          <w:sz w:val="24"/>
        </w:rPr>
      </w:pPr>
      <w:r w:rsidRPr="00E76316">
        <w:rPr>
          <w:rFonts w:asciiTheme="minorEastAsia" w:eastAsiaTheme="minorEastAsia" w:hAnsiTheme="minorEastAsia" w:hint="eastAsia"/>
          <w:szCs w:val="21"/>
        </w:rPr>
        <w:t>投资资产原则按照期限匹配进行配置，主要风险为存续期内的信用风险，对资产流动性要求一般，流动性风险较小。</w:t>
      </w:r>
    </w:p>
    <w:p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:rsidTr="0044179E">
        <w:tc>
          <w:tcPr>
            <w:tcW w:w="777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华西证券丰收信诚</w:t>
            </w:r>
            <w:r w:rsidRPr="00FB6F1F">
              <w:rPr>
                <w:szCs w:val="21"/>
              </w:rPr>
              <w:t>5</w:t>
            </w:r>
            <w:r w:rsidRPr="00FB6F1F">
              <w:rPr>
                <w:szCs w:val="21"/>
              </w:rPr>
              <w:t>号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r w:rsidRPr="001E73F7">
              <w:t>2,662,322.93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100.02</w:t>
            </w:r>
            <w:bookmarkEnd w:id="3"/>
            <w:bookmarkEnd w:id="4"/>
          </w:p>
        </w:tc>
      </w:tr>
    </w:tbl>
    <w:p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</w:t>
      </w:r>
      <w:proofErr w:type="gramStart"/>
      <w:r w:rsidR="00625E1C" w:rsidRPr="00C15724"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 w:rsidR="00625E1C" w:rsidRPr="00C15724">
        <w:rPr>
          <w:rFonts w:asciiTheme="minorEastAsia" w:eastAsiaTheme="minorEastAsia" w:hAnsiTheme="minorEastAsia" w:hint="eastAsia"/>
          <w:szCs w:val="21"/>
        </w:rPr>
        <w:t>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64427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长交投债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167,036.13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6.28</w:t>
            </w:r>
          </w:p>
        </w:tc>
      </w:tr>
      <w:tr w:rsidR="0064427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富春山居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166,529.50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6.26</w:t>
            </w:r>
          </w:p>
        </w:tc>
      </w:tr>
      <w:tr w:rsidR="0064427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165,330.67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6.21</w:t>
            </w:r>
          </w:p>
        </w:tc>
      </w:tr>
      <w:tr w:rsidR="0064427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湖州产投</w:t>
            </w:r>
            <w:r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165,188.44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6.21</w:t>
            </w:r>
          </w:p>
        </w:tc>
      </w:tr>
      <w:tr w:rsidR="0064427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长湖债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115,273.33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4.33</w:t>
            </w:r>
          </w:p>
        </w:tc>
      </w:tr>
      <w:tr w:rsidR="0064427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昌阳投资</w:t>
            </w:r>
            <w:r>
              <w:rPr>
                <w:szCs w:val="21"/>
              </w:rPr>
              <w:t>PPN004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113,402.29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4.26</w:t>
            </w:r>
          </w:p>
        </w:tc>
      </w:tr>
      <w:tr w:rsidR="0064427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大目湾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113,325.68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4.26</w:t>
            </w:r>
          </w:p>
        </w:tc>
      </w:tr>
      <w:tr w:rsidR="0064427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金阳新城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113,233.42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4.25</w:t>
            </w:r>
          </w:p>
        </w:tc>
      </w:tr>
      <w:tr w:rsidR="0064427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通顺交投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112,831.67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27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4.24</w:t>
            </w:r>
          </w:p>
        </w:tc>
      </w:tr>
      <w:tr w:rsidR="00091668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22</w:t>
            </w:r>
            <w:r w:rsidRPr="00FB6F1F">
              <w:rPr>
                <w:szCs w:val="21"/>
              </w:rPr>
              <w:t>太湖湾</w:t>
            </w:r>
            <w:r w:rsidRPr="00FB6F1F"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112,543.92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4.23</w:t>
            </w:r>
          </w:p>
        </w:tc>
      </w:tr>
    </w:tbl>
    <w:p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lastRenderedPageBreak/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2023-04-15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E0CE5" w:rsidRDefault="008E0CE5">
      <w:r>
        <w:separator/>
      </w:r>
    </w:p>
  </w:endnote>
  <w:endnote w:type="continuationSeparator" w:id="0">
    <w:p w:rsidR="008E0CE5" w:rsidRDefault="008E0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FangSong">
    <w:altName w:val="Times New Roman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E0CE5" w:rsidRDefault="008E0CE5">
      <w:r>
        <w:separator/>
      </w:r>
    </w:p>
  </w:footnote>
  <w:footnote w:type="continuationSeparator" w:id="0">
    <w:p w:rsidR="008E0CE5" w:rsidRDefault="008E0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03901163">
    <w:abstractNumId w:val="0"/>
  </w:num>
  <w:num w:numId="2" w16cid:durableId="1315716039">
    <w:abstractNumId w:val="0"/>
  </w:num>
  <w:num w:numId="3" w16cid:durableId="837161650">
    <w:abstractNumId w:val="0"/>
  </w:num>
  <w:num w:numId="4" w16cid:durableId="1861813419">
    <w:abstractNumId w:val="0"/>
  </w:num>
  <w:num w:numId="5" w16cid:durableId="575941048">
    <w:abstractNumId w:val="0"/>
  </w:num>
  <w:num w:numId="6" w16cid:durableId="2023124719">
    <w:abstractNumId w:val="0"/>
  </w:num>
  <w:num w:numId="7" w16cid:durableId="1815292073">
    <w:abstractNumId w:val="0"/>
  </w:num>
  <w:num w:numId="8" w16cid:durableId="1933590625">
    <w:abstractNumId w:val="0"/>
  </w:num>
  <w:num w:numId="9" w16cid:durableId="1612082052">
    <w:abstractNumId w:val="0"/>
  </w:num>
  <w:num w:numId="10" w16cid:durableId="941108972">
    <w:abstractNumId w:val="0"/>
  </w:num>
  <w:num w:numId="11" w16cid:durableId="1593473157">
    <w:abstractNumId w:val="0"/>
  </w:num>
  <w:num w:numId="12" w16cid:durableId="779035066">
    <w:abstractNumId w:val="0"/>
  </w:num>
  <w:num w:numId="13" w16cid:durableId="1144421929">
    <w:abstractNumId w:val="0"/>
  </w:num>
  <w:num w:numId="14" w16cid:durableId="2132164008">
    <w:abstractNumId w:val="0"/>
  </w:num>
  <w:num w:numId="15" w16cid:durableId="486897980">
    <w:abstractNumId w:val="0"/>
  </w:num>
  <w:num w:numId="16" w16cid:durableId="1417483918">
    <w:abstractNumId w:val="0"/>
  </w:num>
  <w:num w:numId="17" w16cid:durableId="1783183975">
    <w:abstractNumId w:val="0"/>
  </w:num>
  <w:num w:numId="18" w16cid:durableId="1527057641">
    <w:abstractNumId w:val="0"/>
  </w:num>
  <w:num w:numId="19" w16cid:durableId="319113988">
    <w:abstractNumId w:val="0"/>
  </w:num>
  <w:num w:numId="20" w16cid:durableId="1112626439">
    <w:abstractNumId w:val="0"/>
  </w:num>
  <w:num w:numId="21" w16cid:durableId="817959520">
    <w:abstractNumId w:val="0"/>
  </w:num>
  <w:num w:numId="22" w16cid:durableId="1277832332">
    <w:abstractNumId w:val="0"/>
  </w:num>
  <w:num w:numId="23" w16cid:durableId="2131581359">
    <w:abstractNumId w:val="0"/>
  </w:num>
  <w:num w:numId="24" w16cid:durableId="1857226616">
    <w:abstractNumId w:val="0"/>
  </w:num>
  <w:num w:numId="25" w16cid:durableId="177930591">
    <w:abstractNumId w:val="0"/>
  </w:num>
  <w:num w:numId="26" w16cid:durableId="886914404">
    <w:abstractNumId w:val="1"/>
  </w:num>
  <w:num w:numId="27" w16cid:durableId="728530496">
    <w:abstractNumId w:val="0"/>
  </w:num>
  <w:num w:numId="28" w16cid:durableId="652677815">
    <w:abstractNumId w:val="0"/>
  </w:num>
  <w:num w:numId="29" w16cid:durableId="615059645">
    <w:abstractNumId w:val="0"/>
  </w:num>
  <w:num w:numId="30" w16cid:durableId="1089622520">
    <w:abstractNumId w:val="0"/>
  </w:num>
  <w:num w:numId="31" w16cid:durableId="950670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5F7FB9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4275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0CE5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1469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6245DC"/>
  <w15:docId w15:val="{027BA80D-27C1-4306-AF91-39D6F778F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349</Words>
  <Characters>1992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2023-04-24T01:08:00Z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