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hint="eastAsia" w:ascii="宋体" w:hAnsi="宋体"/>
          <w:b/>
          <w:bCs/>
          <w:sz w:val="48"/>
          <w:szCs w:val="30"/>
        </w:rPr>
        <w:t>海盐农商银行丰收信福2022年第3期封闭式净值型理财产品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2022年半年度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产品管理人：浙江海盐农村商业银行股份有限公司</w:t>
      </w:r>
    </w:p>
    <w:p>
      <w:pPr>
        <w:ind w:firstLine="1687" w:firstLineChars="600"/>
        <w:jc w:val="left"/>
        <w:rPr>
          <w:rFonts w:ascii="宋体" w:hAnsi="宋体"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</w:t>
      </w:r>
      <w:r>
        <w:rPr>
          <w:rFonts w:hint="eastAsia" w:ascii="宋体" w:hAnsi="宋体"/>
          <w:b/>
          <w:bCs/>
          <w:sz w:val="28"/>
          <w:szCs w:val="30"/>
        </w:rPr>
        <w:t>招商银行股份有限公司杭州分行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招商银行股份有限公司杭州分行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自2022-01-27起至2022-06-30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  <w:lang w:eastAsia="zh-CN"/>
        </w:rPr>
        <w:t>产品</w:t>
      </w:r>
      <w:r>
        <w:rPr>
          <w:rFonts w:hint="eastAsia"/>
        </w:rPr>
        <w:t>基本情况</w:t>
      </w:r>
      <w:r>
        <w:rPr>
          <w:rFonts w:hint="eastAsia"/>
          <w:lang w:eastAsia="zh-CN"/>
        </w:rPr>
        <w:t xml:space="preserve"> 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海盐农商银行丰收信福2022年第3期封闭式净值型理财产品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C3209522000011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浙江海盐农村商业银行股份有限公司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招商银行股份有限公司杭州分行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公募封闭式净值型银行理财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2022-01-27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2024-01-31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2,800,000.00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4.4%/年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  <w:rPr>
          <w:lang w:eastAsia="zh-CN"/>
        </w:rPr>
      </w:pPr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>
        <w:rPr>
          <w:rFonts w:hint="eastAsia"/>
        </w:rPr>
        <w:t>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2022-01-27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2022-06-30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</w:pPr>
            <w:r>
              <w:t>3.18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</w:pPr>
            <w:r>
              <w:rPr>
                <w:rFonts w:hint="eastAsia"/>
              </w:rPr>
              <w:t>3.18</w:t>
            </w:r>
            <w:bookmarkStart w:id="1" w:name="OLE_LINK4"/>
            <w:bookmarkEnd w:id="1"/>
            <w:bookmarkStart w:id="2" w:name="OLE_LINK7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2022-01-27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2022-06-30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</w:pPr>
            <w:r>
              <w:t>25,910.10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</w:pPr>
            <w:r>
              <w:t>89,214.48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</w:pPr>
            <w:r>
              <w:t>2,889,214.48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</w:pPr>
            <w:r>
              <w:t>1.0318</w:t>
            </w:r>
          </w:p>
        </w:tc>
      </w:tr>
    </w:tbl>
    <w:p>
      <w:pPr>
        <w:tabs>
          <w:tab w:val="left" w:pos="3135"/>
        </w:tabs>
        <w:ind w:left="420" w:leftChars="200"/>
      </w:pP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</w:pPr>
            <w: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</w:pPr>
            <w: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</w:pPr>
          </w:p>
        </w:tc>
        <w:tc>
          <w:tcPr>
            <w:tcW w:w="1653" w:type="dxa"/>
            <w:vAlign w:val="center"/>
          </w:tcPr>
          <w:p>
            <w:pPr>
              <w:jc w:val="right"/>
            </w:pPr>
          </w:p>
        </w:tc>
        <w:tc>
          <w:tcPr>
            <w:tcW w:w="1705" w:type="dxa"/>
            <w:vAlign w:val="center"/>
          </w:tcPr>
          <w:p>
            <w:pPr>
              <w:jc w:val="righ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</w:pPr>
            <w: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</w:pPr>
            <w:r>
              <w:t>3,605,241.72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</w:pPr>
            <w:r>
              <w:t>124.78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</w:pPr>
            <w:r>
              <w:t>3,508,938.22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</w:pPr>
            <w:r>
              <w:t>121.44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</w:pPr>
            <w:r>
              <w:t>96,303.49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</w:pPr>
            <w:r>
              <w:t>3.33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</w:pPr>
            <w: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</w:pPr>
          </w:p>
        </w:tc>
        <w:tc>
          <w:tcPr>
            <w:tcW w:w="1653" w:type="dxa"/>
            <w:vAlign w:val="center"/>
          </w:tcPr>
          <w:p>
            <w:pPr>
              <w:jc w:val="right"/>
            </w:pPr>
          </w:p>
        </w:tc>
        <w:tc>
          <w:tcPr>
            <w:tcW w:w="1705" w:type="dxa"/>
            <w:vAlign w:val="center"/>
          </w:tcPr>
          <w:p>
            <w:pPr>
              <w:jc w:val="righ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</w:pPr>
          </w:p>
        </w:tc>
        <w:tc>
          <w:tcPr>
            <w:tcW w:w="1653" w:type="dxa"/>
            <w:vAlign w:val="center"/>
          </w:tcPr>
          <w:p>
            <w:pPr>
              <w:jc w:val="right"/>
            </w:pPr>
          </w:p>
        </w:tc>
        <w:tc>
          <w:tcPr>
            <w:tcW w:w="1705" w:type="dxa"/>
            <w:vAlign w:val="center"/>
          </w:tcPr>
          <w:p>
            <w:pPr>
              <w:jc w:val="righ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</w:pPr>
            <w: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</w:pPr>
          </w:p>
        </w:tc>
        <w:tc>
          <w:tcPr>
            <w:tcW w:w="1653" w:type="dxa"/>
            <w:vAlign w:val="center"/>
          </w:tcPr>
          <w:p>
            <w:pPr>
              <w:jc w:val="right"/>
            </w:pPr>
          </w:p>
        </w:tc>
        <w:tc>
          <w:tcPr>
            <w:tcW w:w="1705" w:type="dxa"/>
            <w:vAlign w:val="center"/>
          </w:tcPr>
          <w:p>
            <w:pPr>
              <w:jc w:val="righ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</w:pPr>
            <w: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</w:pPr>
            <w: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</w:pPr>
          </w:p>
        </w:tc>
        <w:tc>
          <w:tcPr>
            <w:tcW w:w="1653" w:type="dxa"/>
            <w:vAlign w:val="center"/>
          </w:tcPr>
          <w:p>
            <w:pPr>
              <w:jc w:val="right"/>
            </w:pPr>
          </w:p>
        </w:tc>
        <w:tc>
          <w:tcPr>
            <w:tcW w:w="1705" w:type="dxa"/>
            <w:vAlign w:val="center"/>
          </w:tcPr>
          <w:p>
            <w:pPr>
              <w:jc w:val="righ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</w:pPr>
            <w:r>
              <w:t>0.51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</w:pPr>
            <w:r>
              <w:t>3,449.03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</w:pPr>
            <w:r>
              <w:t>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</w:pPr>
            <w: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</w:pPr>
            <w:r>
              <w:t>2,889,393.04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</w:pPr>
            <w:r>
              <w:t>100.00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</w:pPr>
            <w: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</w:pPr>
            <w:r>
              <w:t>26.62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</w:pPr>
            <w: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</w:pPr>
            <w:r>
              <w:t>2,889,393.55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</w:pPr>
            <w:r>
              <w:t>100.00</w:t>
            </w:r>
          </w:p>
        </w:tc>
        <w:tc>
          <w:tcPr>
            <w:tcW w:w="1653" w:type="dxa"/>
          </w:tcPr>
          <w:p>
            <w:pPr>
              <w:jc w:val="right"/>
            </w:pPr>
            <w:r>
              <w:t>3,608,717.37</w:t>
            </w:r>
          </w:p>
        </w:tc>
        <w:tc>
          <w:tcPr>
            <w:tcW w:w="1705" w:type="dxa"/>
          </w:tcPr>
          <w:p>
            <w:pPr>
              <w:jc w:val="right"/>
            </w:pPr>
            <w:r>
              <w:t>124.90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Cs w:val="21"/>
        </w:rPr>
        <w:t>注1：间接投资占产品总资产的比例（%）为占本产品总资产的比例（%）。</w:t>
      </w: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  <w:lang w:eastAsia="zh-CN"/>
        </w:rPr>
        <w:t>性</w:t>
      </w:r>
      <w:r>
        <w:rPr>
          <w:b w:val="0"/>
        </w:rPr>
        <w:t>风险分析</w:t>
      </w:r>
    </w:p>
    <w:p>
      <w:pPr>
        <w:spacing w:line="360" w:lineRule="auto"/>
        <w:ind w:firstLine="480" w:firstLineChars="200"/>
      </w:pPr>
      <w:r>
        <w:rPr>
          <w:rFonts w:hint="eastAsia" w:ascii="宋体" w:hAnsi="宋体"/>
          <w:sz w:val="24"/>
        </w:rPr>
        <w:t xml:space="preserve">   </w:t>
      </w:r>
      <w:r>
        <w:rPr>
          <w:rFonts w:hint="eastAsia"/>
        </w:rPr>
        <w:t>本产品属于封闭式固收类，无期间申购赎回条款，主要通过大类资产配置思路，采取固收策略，将投资主要分布于较高信用、流动性较好的货币类工具及风险适度的债券上，在尽量保证价值、价格低波动的前提下，增厚产品的风险收益。</w:t>
      </w:r>
      <w:r>
        <w:t xml:space="preserve"> </w:t>
      </w:r>
    </w:p>
    <w:p>
      <w:pPr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/>
        </w:rPr>
        <w:t>投资资产原则按照期限匹配进行配置，主要风险为存续期内的信用风险，对资产流动性要求一般，流动性风险较小。</w:t>
      </w:r>
    </w:p>
    <w:p>
      <w:pPr>
        <w:jc w:val="left"/>
        <w:rPr>
          <w:rFonts w:asciiTheme="minorEastAsia" w:hAnsiTheme="minorEastAsia" w:eastAsiaTheme="minorEastAsia"/>
          <w:sz w:val="24"/>
        </w:rPr>
      </w:pPr>
      <w:bookmarkStart w:id="5" w:name="_GoBack"/>
      <w:bookmarkEnd w:id="5"/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华西证券丰收信诚5号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</w:pPr>
            <w:r>
              <w:t>2,889,393.04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</w:pPr>
            <w:bookmarkStart w:id="3" w:name="OLE_LINK5"/>
            <w:bookmarkStart w:id="4" w:name="OLE_LINK6"/>
            <w:r>
              <w:t>100.01</w:t>
            </w:r>
            <w:bookmarkEnd w:id="3"/>
            <w:bookmarkEnd w:id="4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注：前十项资产明细仅包含证券投资、场外投资，不包含银行活期存款、存出保证金、清算备付金等资产。</w:t>
      </w: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报告期末占资产净值比例大小排序的前十项资产明细（穿透后）</w:t>
      </w:r>
    </w:p>
    <w:p>
      <w:pPr>
        <w:spacing w:before="100" w:beforeAutospacing="1" w:after="100" w:afterAutospacing="1"/>
        <w:jc w:val="right"/>
      </w:pPr>
      <w:r>
        <w:rPr>
          <w:rFonts w:hint="eastAsia"/>
        </w:rPr>
        <w:t>金额单位：元</w:t>
      </w:r>
    </w:p>
    <w:tbl>
      <w:tblPr>
        <w:tblStyle w:val="17"/>
        <w:tblW w:w="906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77"/>
        <w:gridCol w:w="3159"/>
        <w:gridCol w:w="2693"/>
        <w:gridCol w:w="243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  <w:jc w:val="center"/>
        </w:trPr>
        <w:tc>
          <w:tcPr>
            <w:tcW w:w="7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/>
              <w:jc w:val="left"/>
            </w:pPr>
            <w:r>
              <w:rPr>
                <w:rFonts w:hint="eastAsia"/>
                <w:b/>
                <w:bCs/>
              </w:rPr>
              <w:t>资产名称</w:t>
            </w:r>
          </w:p>
        </w:tc>
        <w:tc>
          <w:tcPr>
            <w:tcW w:w="269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金额</w:t>
            </w:r>
          </w:p>
        </w:tc>
        <w:tc>
          <w:tcPr>
            <w:tcW w:w="243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占产品资产净值比例（%）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7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sz w:val="20"/>
              </w:rPr>
            </w:pPr>
            <w:r>
              <w:rPr>
                <w:szCs w:val="21"/>
              </w:rPr>
              <w:t>21昌阳投资PPN004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254,630.04</w:t>
            </w:r>
          </w:p>
        </w:tc>
        <w:tc>
          <w:tcPr>
            <w:tcW w:w="24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8.81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7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sz w:val="20"/>
              </w:rPr>
            </w:pPr>
            <w:r>
              <w:rPr>
                <w:szCs w:val="21"/>
              </w:rPr>
              <w:t>22通顺交投MTN001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252,074.39</w:t>
            </w:r>
          </w:p>
        </w:tc>
        <w:tc>
          <w:tcPr>
            <w:tcW w:w="24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8.72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7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31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sz w:val="20"/>
              </w:rPr>
            </w:pPr>
            <w:r>
              <w:rPr>
                <w:szCs w:val="21"/>
              </w:rPr>
              <w:t>22长交投债01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250,749.51</w:t>
            </w:r>
          </w:p>
        </w:tc>
        <w:tc>
          <w:tcPr>
            <w:tcW w:w="24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8.68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7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sz w:val="20"/>
              </w:rPr>
            </w:pPr>
            <w:r>
              <w:rPr>
                <w:szCs w:val="21"/>
              </w:rPr>
              <w:t>22富春山居PPN001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246,005.89</w:t>
            </w:r>
          </w:p>
        </w:tc>
        <w:tc>
          <w:tcPr>
            <w:tcW w:w="24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8.51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7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31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sz w:val="20"/>
              </w:rPr>
            </w:pPr>
            <w:r>
              <w:rPr>
                <w:szCs w:val="21"/>
              </w:rPr>
              <w:t>22湖州产投PPN002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245,366.24</w:t>
            </w:r>
          </w:p>
        </w:tc>
        <w:tc>
          <w:tcPr>
            <w:tcW w:w="24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8.49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7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sz w:val="20"/>
              </w:rPr>
            </w:pPr>
            <w:r>
              <w:rPr>
                <w:szCs w:val="21"/>
              </w:rPr>
              <w:t>22湖投01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244,092.86</w:t>
            </w:r>
          </w:p>
        </w:tc>
        <w:tc>
          <w:tcPr>
            <w:tcW w:w="24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8.45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7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31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sz w:val="20"/>
              </w:rPr>
            </w:pPr>
            <w:r>
              <w:rPr>
                <w:szCs w:val="21"/>
              </w:rPr>
              <w:t>19新天地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182,392.73</w:t>
            </w:r>
          </w:p>
        </w:tc>
        <w:tc>
          <w:tcPr>
            <w:tcW w:w="24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6.31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7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31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sz w:val="20"/>
              </w:rPr>
            </w:pPr>
            <w:r>
              <w:rPr>
                <w:szCs w:val="21"/>
              </w:rPr>
              <w:t>21金阳新城MTN001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170,204.86</w:t>
            </w:r>
          </w:p>
        </w:tc>
        <w:tc>
          <w:tcPr>
            <w:tcW w:w="24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5.89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7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before="100" w:beforeAutospacing="1" w:after="100" w:afterAutospacing="1"/>
            </w:pPr>
            <w:r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sz w:val="20"/>
              </w:rPr>
            </w:pPr>
            <w:r>
              <w:rPr>
                <w:szCs w:val="21"/>
              </w:rPr>
              <w:t>21大目湾PPN001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170,023.07</w:t>
            </w:r>
          </w:p>
        </w:tc>
        <w:tc>
          <w:tcPr>
            <w:tcW w:w="24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5.88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7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before="100" w:beforeAutospacing="1" w:after="100" w:afterAutospacing="1"/>
            </w:pPr>
            <w:r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sz w:val="20"/>
              </w:rPr>
            </w:pPr>
            <w:r>
              <w:rPr>
                <w:szCs w:val="21"/>
              </w:rPr>
              <w:t>22太湖湾PPN001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166,999.76</w:t>
            </w:r>
          </w:p>
        </w:tc>
        <w:tc>
          <w:tcPr>
            <w:tcW w:w="24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5.78</w:t>
            </w:r>
          </w:p>
        </w:tc>
      </w:tr>
    </w:tbl>
    <w:p>
      <w:pPr>
        <w:spacing w:before="100" w:beforeAutospacing="1" w:after="100" w:afterAutospacing="1"/>
      </w:pPr>
      <w:r>
        <w:rPr>
          <w:rFonts w:hint="eastAsia"/>
        </w:rPr>
        <w:t>注：前十项资产明细仅包含证券投资、场外投资，不包含银行活期存款、存出保证金、清算备付金等资产。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浙江海盐农村商业银行股份有限公司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2022-07-15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EzOTIxNzM2NzQyM2M3YzM5NDdlM2EzODE5MjY4MTkifQ=="/>
  </w:docVars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456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1668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13BD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003A8"/>
    <w:rsid w:val="001178EF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82115"/>
    <w:rsid w:val="0019201F"/>
    <w:rsid w:val="00193840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2D4"/>
    <w:rsid w:val="001E1A37"/>
    <w:rsid w:val="001E27AF"/>
    <w:rsid w:val="001E2A08"/>
    <w:rsid w:val="001E4B7A"/>
    <w:rsid w:val="001E7354"/>
    <w:rsid w:val="001E73F7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7180C"/>
    <w:rsid w:val="00285198"/>
    <w:rsid w:val="0028673C"/>
    <w:rsid w:val="00291837"/>
    <w:rsid w:val="00293CED"/>
    <w:rsid w:val="002A1060"/>
    <w:rsid w:val="002A5581"/>
    <w:rsid w:val="002A6967"/>
    <w:rsid w:val="002B18D0"/>
    <w:rsid w:val="002B1BF7"/>
    <w:rsid w:val="002B2425"/>
    <w:rsid w:val="002B5C75"/>
    <w:rsid w:val="002B6AB0"/>
    <w:rsid w:val="002B6D92"/>
    <w:rsid w:val="002C0D52"/>
    <w:rsid w:val="002D2E99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40F2"/>
    <w:rsid w:val="003170E3"/>
    <w:rsid w:val="003176DF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798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349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216"/>
    <w:rsid w:val="00415C27"/>
    <w:rsid w:val="004169FD"/>
    <w:rsid w:val="00420876"/>
    <w:rsid w:val="0042283D"/>
    <w:rsid w:val="00430538"/>
    <w:rsid w:val="004332EF"/>
    <w:rsid w:val="00436399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A7E27"/>
    <w:rsid w:val="004B02F2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E5C17"/>
    <w:rsid w:val="004F0ECB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2CD"/>
    <w:rsid w:val="00527A49"/>
    <w:rsid w:val="005310A6"/>
    <w:rsid w:val="0053595B"/>
    <w:rsid w:val="00537901"/>
    <w:rsid w:val="00540DE6"/>
    <w:rsid w:val="00542A91"/>
    <w:rsid w:val="0054387B"/>
    <w:rsid w:val="005465B6"/>
    <w:rsid w:val="00552EA5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50DF"/>
    <w:rsid w:val="005C6300"/>
    <w:rsid w:val="005D0C97"/>
    <w:rsid w:val="005D13A8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4F5A"/>
    <w:rsid w:val="00665902"/>
    <w:rsid w:val="006664D5"/>
    <w:rsid w:val="00667384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55BF"/>
    <w:rsid w:val="00697DB7"/>
    <w:rsid w:val="006A307A"/>
    <w:rsid w:val="006B0B91"/>
    <w:rsid w:val="006B24E7"/>
    <w:rsid w:val="006B554E"/>
    <w:rsid w:val="006B5B87"/>
    <w:rsid w:val="006C21A8"/>
    <w:rsid w:val="006C483B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6F7150"/>
    <w:rsid w:val="00710788"/>
    <w:rsid w:val="00710F9C"/>
    <w:rsid w:val="00711860"/>
    <w:rsid w:val="00714D1B"/>
    <w:rsid w:val="00717029"/>
    <w:rsid w:val="00720312"/>
    <w:rsid w:val="0072202C"/>
    <w:rsid w:val="0072288E"/>
    <w:rsid w:val="007229F0"/>
    <w:rsid w:val="00730BF8"/>
    <w:rsid w:val="007313AE"/>
    <w:rsid w:val="00735E33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1A28"/>
    <w:rsid w:val="00762F4A"/>
    <w:rsid w:val="007633CA"/>
    <w:rsid w:val="007663F0"/>
    <w:rsid w:val="00767B4B"/>
    <w:rsid w:val="00774DB3"/>
    <w:rsid w:val="00777511"/>
    <w:rsid w:val="00782BD3"/>
    <w:rsid w:val="00783A2D"/>
    <w:rsid w:val="00783C30"/>
    <w:rsid w:val="00786516"/>
    <w:rsid w:val="0078701B"/>
    <w:rsid w:val="0079003D"/>
    <w:rsid w:val="00790F54"/>
    <w:rsid w:val="00792C55"/>
    <w:rsid w:val="0079349C"/>
    <w:rsid w:val="007957D3"/>
    <w:rsid w:val="007963A4"/>
    <w:rsid w:val="007A3942"/>
    <w:rsid w:val="007A41FE"/>
    <w:rsid w:val="007A4FF1"/>
    <w:rsid w:val="007A5C4C"/>
    <w:rsid w:val="007A6008"/>
    <w:rsid w:val="007A66E8"/>
    <w:rsid w:val="007A67A8"/>
    <w:rsid w:val="007A6D6E"/>
    <w:rsid w:val="007B5B14"/>
    <w:rsid w:val="007C00B5"/>
    <w:rsid w:val="007C271F"/>
    <w:rsid w:val="007D4695"/>
    <w:rsid w:val="007D5F69"/>
    <w:rsid w:val="007D7D2D"/>
    <w:rsid w:val="007E24A8"/>
    <w:rsid w:val="007E6BBB"/>
    <w:rsid w:val="007F0CC4"/>
    <w:rsid w:val="007F261A"/>
    <w:rsid w:val="007F4389"/>
    <w:rsid w:val="00805841"/>
    <w:rsid w:val="008067E9"/>
    <w:rsid w:val="00810BDB"/>
    <w:rsid w:val="008138C2"/>
    <w:rsid w:val="008207FC"/>
    <w:rsid w:val="00824A1A"/>
    <w:rsid w:val="0082723D"/>
    <w:rsid w:val="00830FB1"/>
    <w:rsid w:val="008318D4"/>
    <w:rsid w:val="00832C2D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56079"/>
    <w:rsid w:val="008631C4"/>
    <w:rsid w:val="00863246"/>
    <w:rsid w:val="008647E2"/>
    <w:rsid w:val="00865A3B"/>
    <w:rsid w:val="00867C1C"/>
    <w:rsid w:val="00871807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17EB0"/>
    <w:rsid w:val="009200D9"/>
    <w:rsid w:val="00924290"/>
    <w:rsid w:val="0093136C"/>
    <w:rsid w:val="009361E0"/>
    <w:rsid w:val="00940851"/>
    <w:rsid w:val="0094353A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798"/>
    <w:rsid w:val="009D7F30"/>
    <w:rsid w:val="009E272C"/>
    <w:rsid w:val="009E7949"/>
    <w:rsid w:val="009F1173"/>
    <w:rsid w:val="009F2CE7"/>
    <w:rsid w:val="009F6300"/>
    <w:rsid w:val="00A03DAA"/>
    <w:rsid w:val="00A04E16"/>
    <w:rsid w:val="00A053A7"/>
    <w:rsid w:val="00A07072"/>
    <w:rsid w:val="00A1398C"/>
    <w:rsid w:val="00A16209"/>
    <w:rsid w:val="00A179D8"/>
    <w:rsid w:val="00A17F78"/>
    <w:rsid w:val="00A217B1"/>
    <w:rsid w:val="00A226D6"/>
    <w:rsid w:val="00A2617B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2258"/>
    <w:rsid w:val="00A73CCB"/>
    <w:rsid w:val="00A754BF"/>
    <w:rsid w:val="00A80900"/>
    <w:rsid w:val="00A9256F"/>
    <w:rsid w:val="00A94073"/>
    <w:rsid w:val="00A95724"/>
    <w:rsid w:val="00A97609"/>
    <w:rsid w:val="00A97CC1"/>
    <w:rsid w:val="00AA0964"/>
    <w:rsid w:val="00AA0D73"/>
    <w:rsid w:val="00AB7956"/>
    <w:rsid w:val="00AB7F1E"/>
    <w:rsid w:val="00AC0253"/>
    <w:rsid w:val="00AC5BD9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19E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97D08"/>
    <w:rsid w:val="00BA2FE9"/>
    <w:rsid w:val="00BB2C8E"/>
    <w:rsid w:val="00BB3836"/>
    <w:rsid w:val="00BC6F6D"/>
    <w:rsid w:val="00BC79AA"/>
    <w:rsid w:val="00BC7BE2"/>
    <w:rsid w:val="00BD01DA"/>
    <w:rsid w:val="00BD1DC0"/>
    <w:rsid w:val="00BD70E0"/>
    <w:rsid w:val="00BE1D4B"/>
    <w:rsid w:val="00BE2BF0"/>
    <w:rsid w:val="00BE491C"/>
    <w:rsid w:val="00BE4F1C"/>
    <w:rsid w:val="00BE6F0A"/>
    <w:rsid w:val="00BE7278"/>
    <w:rsid w:val="00BE7B71"/>
    <w:rsid w:val="00BF2E9E"/>
    <w:rsid w:val="00BF4819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403"/>
    <w:rsid w:val="00C34D32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B1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2AE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3BE1"/>
    <w:rsid w:val="00D57ABE"/>
    <w:rsid w:val="00D60D0A"/>
    <w:rsid w:val="00D63034"/>
    <w:rsid w:val="00D664DF"/>
    <w:rsid w:val="00D72C48"/>
    <w:rsid w:val="00D7572D"/>
    <w:rsid w:val="00D76EC7"/>
    <w:rsid w:val="00D806F7"/>
    <w:rsid w:val="00D84E5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76C"/>
    <w:rsid w:val="00DC0BCD"/>
    <w:rsid w:val="00DC63EA"/>
    <w:rsid w:val="00DC7755"/>
    <w:rsid w:val="00DD0776"/>
    <w:rsid w:val="00DD2D10"/>
    <w:rsid w:val="00DD493A"/>
    <w:rsid w:val="00DE0BA7"/>
    <w:rsid w:val="00DE6E8C"/>
    <w:rsid w:val="00DF1B60"/>
    <w:rsid w:val="00DF64FE"/>
    <w:rsid w:val="00DF70DD"/>
    <w:rsid w:val="00E05CBD"/>
    <w:rsid w:val="00E0685D"/>
    <w:rsid w:val="00E133C1"/>
    <w:rsid w:val="00E13A22"/>
    <w:rsid w:val="00E22023"/>
    <w:rsid w:val="00E24F4A"/>
    <w:rsid w:val="00E24F6C"/>
    <w:rsid w:val="00E25FBD"/>
    <w:rsid w:val="00E26554"/>
    <w:rsid w:val="00E27C54"/>
    <w:rsid w:val="00E33DFC"/>
    <w:rsid w:val="00E36DC0"/>
    <w:rsid w:val="00E37A28"/>
    <w:rsid w:val="00E40C11"/>
    <w:rsid w:val="00E504F9"/>
    <w:rsid w:val="00E5307C"/>
    <w:rsid w:val="00E5314E"/>
    <w:rsid w:val="00E538A2"/>
    <w:rsid w:val="00E61DCA"/>
    <w:rsid w:val="00E65FF2"/>
    <w:rsid w:val="00E67113"/>
    <w:rsid w:val="00E67390"/>
    <w:rsid w:val="00E71726"/>
    <w:rsid w:val="00E732A5"/>
    <w:rsid w:val="00E757CD"/>
    <w:rsid w:val="00E76293"/>
    <w:rsid w:val="00E773EF"/>
    <w:rsid w:val="00E824E1"/>
    <w:rsid w:val="00E841D0"/>
    <w:rsid w:val="00E84CB6"/>
    <w:rsid w:val="00E8759A"/>
    <w:rsid w:val="00E915A7"/>
    <w:rsid w:val="00E934B9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FD6"/>
    <w:rsid w:val="00F34D29"/>
    <w:rsid w:val="00F35C2C"/>
    <w:rsid w:val="00F44F0C"/>
    <w:rsid w:val="00F45974"/>
    <w:rsid w:val="00F45EFD"/>
    <w:rsid w:val="00F51B8A"/>
    <w:rsid w:val="00F53A4B"/>
    <w:rsid w:val="00F64D16"/>
    <w:rsid w:val="00F65B50"/>
    <w:rsid w:val="00F66697"/>
    <w:rsid w:val="00F66D00"/>
    <w:rsid w:val="00F67B3D"/>
    <w:rsid w:val="00F733D2"/>
    <w:rsid w:val="00F867C5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E54"/>
    <w:rsid w:val="00FB3F6A"/>
    <w:rsid w:val="00FB6F1F"/>
    <w:rsid w:val="00FC749F"/>
    <w:rsid w:val="00FD2905"/>
    <w:rsid w:val="00FE1CEA"/>
    <w:rsid w:val="00FE3C8E"/>
    <w:rsid w:val="00FE3E86"/>
    <w:rsid w:val="00FE4490"/>
    <w:rsid w:val="00FE51F2"/>
    <w:rsid w:val="00FE52AD"/>
    <w:rsid w:val="00FE5547"/>
    <w:rsid w:val="00FE5CB2"/>
    <w:rsid w:val="00FF15E9"/>
    <w:rsid w:val="00FF6973"/>
    <w:rsid w:val="7C3F14E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 w:eastAsia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 w:eastAsia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 w:eastAsia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 w:eastAsia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uiPriority w:val="0"/>
    <w:pPr>
      <w:shd w:val="clear" w:color="auto" w:fill="000080"/>
    </w:pPr>
  </w:style>
  <w:style w:type="paragraph" w:styleId="7">
    <w:name w:val="annotation text"/>
    <w:basedOn w:val="1"/>
    <w:uiPriority w:val="0"/>
    <w:pPr>
      <w:jc w:val="left"/>
    </w:pPr>
  </w:style>
  <w:style w:type="paragraph" w:styleId="8">
    <w:name w:val="Date"/>
    <w:basedOn w:val="1"/>
    <w:next w:val="1"/>
    <w:link w:val="48"/>
    <w:uiPriority w:val="0"/>
    <w:rPr>
      <w:rFonts w:ascii="宋体"/>
      <w:sz w:val="32"/>
      <w:lang w:val="zh-CN" w:eastAsia="zh-CN"/>
    </w:rPr>
  </w:style>
  <w:style w:type="paragraph" w:styleId="9">
    <w:name w:val="Balloon Text"/>
    <w:basedOn w:val="1"/>
    <w:uiPriority w:val="0"/>
    <w:rPr>
      <w:sz w:val="18"/>
      <w:szCs w:val="18"/>
    </w:rPr>
  </w:style>
  <w:style w:type="paragraph" w:styleId="10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uiPriority w:val="0"/>
    <w:pPr>
      <w:snapToGrid w:val="0"/>
      <w:jc w:val="left"/>
    </w:pPr>
    <w:rPr>
      <w:sz w:val="18"/>
      <w:szCs w:val="18"/>
      <w:lang w:val="zh-CN" w:eastAsia="zh-CN"/>
    </w:rPr>
  </w:style>
  <w:style w:type="paragraph" w:styleId="1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uiPriority w:val="0"/>
    <w:rPr>
      <w:b/>
      <w:bCs/>
    </w:rPr>
  </w:style>
  <w:style w:type="table" w:styleId="18">
    <w:name w:val="Table Grid"/>
    <w:basedOn w:val="17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uiPriority w:val="0"/>
  </w:style>
  <w:style w:type="character" w:styleId="21">
    <w:name w:val="annotation reference"/>
    <w:uiPriority w:val="0"/>
    <w:rPr>
      <w:sz w:val="21"/>
      <w:szCs w:val="21"/>
    </w:rPr>
  </w:style>
  <w:style w:type="character" w:styleId="22">
    <w:name w:val="footnote reference"/>
    <w:uiPriority w:val="0"/>
    <w:rPr>
      <w:vertAlign w:val="superscript"/>
    </w:rPr>
  </w:style>
  <w:style w:type="character" w:customStyle="1" w:styleId="23">
    <w:name w:val="标题 3 Char"/>
    <w:link w:val="4"/>
    <w:uiPriority w:val="9"/>
    <w:rPr>
      <w:b/>
      <w:bCs/>
      <w:sz w:val="32"/>
      <w:szCs w:val="32"/>
    </w:rPr>
  </w:style>
  <w:style w:type="character" w:customStyle="1" w:styleId="24">
    <w:name w:val="CODE"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uiPriority w:val="0"/>
  </w:style>
  <w:style w:type="character" w:customStyle="1" w:styleId="33">
    <w:name w:val="标题 4 Char"/>
    <w:link w:val="5"/>
    <w:semiHidden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uiPriority w:val="0"/>
    <w:rPr>
      <w:kern w:val="2"/>
      <w:sz w:val="18"/>
      <w:szCs w:val="18"/>
    </w:rPr>
  </w:style>
  <w:style w:type="character" w:customStyle="1" w:styleId="48">
    <w:name w:val="日期 Char"/>
    <w:link w:val="8"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uiPriority w:val="0"/>
  </w:style>
  <w:style w:type="paragraph" w:customStyle="1" w:styleId="51">
    <w:name w:val="xbrltitle2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odes\FA&#22806;&#21253;-LU70\WbWeb\TBCoreV2\TBCore.Web\Report\Template\Normal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EB689-16BA-4565-9A6E-625CBFB7C1C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Lenovo</Company>
  <Pages>5</Pages>
  <Words>1216</Words>
  <Characters>1797</Characters>
  <Lines>14</Lines>
  <Paragraphs>4</Paragraphs>
  <TotalTime>0</TotalTime>
  <ScaleCrop>false</ScaleCrop>
  <LinksUpToDate>false</LinksUpToDate>
  <CharactersWithSpaces>1854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2021-04-23T07:42:00Z</dcterms:created>
  <dc:creator>yss</dc:creator>
  <cp:lastModifiedBy>hynsyh</cp:lastModifiedBy>
  <cp:lastPrinted>2411-12-31T16:00:00Z</cp:lastPrinted>
  <dcterms:modified xsi:type="dcterms:W3CDTF">2023-01-09T02:20:21Z</dcterms:modified>
  <dc:title>gongGaoMingCheng</dc:title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28EA3390DC4D47FDAA0F1A9660878505</vt:lpwstr>
  </property>
</Properties>
</file>